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3A9431" w14:textId="784FC037" w:rsidR="00072503" w:rsidRPr="004F70AD" w:rsidRDefault="00072503" w:rsidP="00072503">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21</w:t>
      </w:r>
      <w:r w:rsidRPr="004F70AD">
        <w:rPr>
          <w:rFonts w:ascii="Arial" w:hAnsi="Arial"/>
          <w:b/>
          <w:i/>
          <w:noProof/>
          <w:sz w:val="28"/>
        </w:rPr>
        <w:tab/>
      </w:r>
      <w:r w:rsidR="005402B8" w:rsidRPr="005402B8">
        <w:rPr>
          <w:rFonts w:ascii="Arial" w:hAnsi="Arial"/>
          <w:b/>
          <w:i/>
          <w:noProof/>
          <w:sz w:val="28"/>
          <w:lang w:eastAsia="ko-KR"/>
        </w:rPr>
        <w:t>R2-2300800</w:t>
      </w:r>
    </w:p>
    <w:p w14:paraId="4D5418EE" w14:textId="77777777" w:rsidR="00072503" w:rsidRPr="003F16D2" w:rsidRDefault="00072503" w:rsidP="00072503">
      <w:pPr>
        <w:widowControl w:val="0"/>
        <w:tabs>
          <w:tab w:val="left" w:pos="1701"/>
          <w:tab w:val="right" w:pos="9923"/>
        </w:tabs>
        <w:spacing w:before="120" w:after="0"/>
        <w:rPr>
          <w:rFonts w:ascii="Arial" w:hAnsi="Arial"/>
          <w:b/>
          <w:i/>
          <w:noProof/>
          <w:sz w:val="28"/>
          <w:lang w:eastAsia="ko-KR"/>
        </w:rPr>
      </w:pPr>
      <w:r>
        <w:rPr>
          <w:rFonts w:ascii="Arial" w:hAnsi="Arial"/>
          <w:b/>
          <w:noProof/>
          <w:sz w:val="24"/>
          <w:lang w:eastAsia="ko-KR"/>
        </w:rPr>
        <w:t>Athens</w:t>
      </w:r>
      <w:r w:rsidRPr="002C2514">
        <w:rPr>
          <w:rFonts w:ascii="Arial" w:hAnsi="Arial"/>
          <w:b/>
          <w:noProof/>
          <w:sz w:val="24"/>
        </w:rPr>
        <w:t>,</w:t>
      </w:r>
      <w:r>
        <w:rPr>
          <w:rFonts w:ascii="Arial" w:hAnsi="Arial"/>
          <w:b/>
          <w:noProof/>
          <w:sz w:val="24"/>
        </w:rPr>
        <w:t xml:space="preserve"> Greece,</w:t>
      </w:r>
      <w:r w:rsidRPr="002C2514">
        <w:rPr>
          <w:rFonts w:ascii="Arial" w:hAnsi="Arial"/>
          <w:b/>
          <w:noProof/>
          <w:sz w:val="24"/>
        </w:rPr>
        <w:t xml:space="preserve"> </w:t>
      </w:r>
      <w:r>
        <w:rPr>
          <w:rFonts w:ascii="Arial" w:hAnsi="Arial"/>
          <w:b/>
          <w:noProof/>
          <w:sz w:val="24"/>
        </w:rPr>
        <w:t>Febrary 27</w:t>
      </w:r>
      <w:r w:rsidRPr="002C2514">
        <w:rPr>
          <w:rFonts w:ascii="Arial" w:hAnsi="Arial"/>
          <w:b/>
          <w:noProof/>
          <w:sz w:val="24"/>
        </w:rPr>
        <w:t xml:space="preserve"> – </w:t>
      </w:r>
      <w:r>
        <w:rPr>
          <w:rFonts w:ascii="Arial" w:hAnsi="Arial"/>
          <w:b/>
          <w:noProof/>
          <w:sz w:val="24"/>
        </w:rPr>
        <w:t>March</w:t>
      </w:r>
      <w:r w:rsidRPr="002C2514">
        <w:rPr>
          <w:rFonts w:ascii="Arial" w:hAnsi="Arial"/>
          <w:b/>
          <w:noProof/>
          <w:sz w:val="24"/>
        </w:rPr>
        <w:t xml:space="preserve"> </w:t>
      </w:r>
      <w:r>
        <w:rPr>
          <w:rFonts w:ascii="Arial" w:hAnsi="Arial"/>
          <w:b/>
          <w:noProof/>
          <w:sz w:val="24"/>
        </w:rPr>
        <w:t>3</w:t>
      </w:r>
      <w:r w:rsidRPr="002C2514">
        <w:rPr>
          <w:rFonts w:ascii="Arial" w:hAnsi="Arial"/>
          <w:b/>
          <w:noProof/>
          <w:sz w:val="24"/>
        </w:rPr>
        <w:t>, 202</w:t>
      </w:r>
      <w:r>
        <w:rPr>
          <w:rFonts w:ascii="Arial" w:hAnsi="Arial"/>
          <w:b/>
          <w:noProof/>
          <w:sz w:val="24"/>
        </w:rPr>
        <w:t>3</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2E4D4957" w14:textId="77777777" w:rsidR="00072503" w:rsidRDefault="00072503" w:rsidP="00072503">
      <w:pPr>
        <w:pStyle w:val="CRCoverPage"/>
        <w:tabs>
          <w:tab w:val="right" w:pos="9639"/>
        </w:tabs>
        <w:spacing w:after="0"/>
        <w:rPr>
          <w:rFonts w:eastAsia="맑은 고딕"/>
          <w:b/>
          <w:noProof/>
          <w:sz w:val="24"/>
          <w:lang w:eastAsia="ko-KR"/>
        </w:rPr>
      </w:pPr>
    </w:p>
    <w:p w14:paraId="66035124" w14:textId="6D5EE000" w:rsidR="00072503" w:rsidRPr="00D05067" w:rsidRDefault="00072503" w:rsidP="0007250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8.7.4.2</w:t>
      </w:r>
    </w:p>
    <w:p w14:paraId="65BF601C" w14:textId="6A17E6C4" w:rsidR="00D4259F" w:rsidRDefault="00072503" w:rsidP="0007250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2D1F3CEB"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D070A7">
        <w:rPr>
          <w:rFonts w:ascii="Arial" w:hAnsi="Arial" w:cs="Arial"/>
          <w:b/>
          <w:noProof/>
          <w:sz w:val="28"/>
          <w:szCs w:val="28"/>
          <w:lang w:val="en-US" w:eastAsia="ko-KR"/>
        </w:rPr>
        <w:t>handover enhancement</w:t>
      </w:r>
      <w:r w:rsidR="00191C50">
        <w:rPr>
          <w:rFonts w:ascii="Arial" w:hAnsi="Arial" w:cs="Arial" w:hint="eastAsia"/>
          <w:b/>
          <w:noProof/>
          <w:sz w:val="28"/>
          <w:szCs w:val="28"/>
          <w:lang w:val="en-US" w:eastAsia="ko-KR"/>
        </w:rPr>
        <w: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3D21430E" w14:textId="3C0C2D80" w:rsidR="00D11594" w:rsidRDefault="00D11594" w:rsidP="00D11594">
      <w:pPr>
        <w:ind w:firstLineChars="100" w:firstLine="200"/>
        <w:jc w:val="both"/>
        <w:rPr>
          <w:lang w:val="en-US" w:eastAsia="ko-KR"/>
        </w:rPr>
      </w:pPr>
      <w:r>
        <w:rPr>
          <w:lang w:val="en-US" w:eastAsia="ko-KR"/>
        </w:rPr>
        <w:t>In RAN2#119bis-e meeting, following statements are agreed.</w:t>
      </w:r>
    </w:p>
    <w:tbl>
      <w:tblPr>
        <w:tblStyle w:val="af4"/>
        <w:tblW w:w="0" w:type="auto"/>
        <w:tblLook w:val="04A0" w:firstRow="1" w:lastRow="0" w:firstColumn="1" w:lastColumn="0" w:noHBand="0" w:noVBand="1"/>
      </w:tblPr>
      <w:tblGrid>
        <w:gridCol w:w="9629"/>
      </w:tblGrid>
      <w:tr w:rsidR="00D11594" w14:paraId="2BFF40B7" w14:textId="77777777" w:rsidTr="00AA66B9">
        <w:tc>
          <w:tcPr>
            <w:tcW w:w="9629" w:type="dxa"/>
          </w:tcPr>
          <w:p w14:paraId="40163B04" w14:textId="77777777" w:rsidR="00D11594" w:rsidRDefault="00D11594" w:rsidP="00AA66B9">
            <w:pPr>
              <w:jc w:val="both"/>
              <w:rPr>
                <w:lang w:val="en-US" w:eastAsia="ko-KR"/>
              </w:rPr>
            </w:pPr>
            <w:r>
              <w:rPr>
                <w:rFonts w:hint="eastAsia"/>
                <w:lang w:val="en-US" w:eastAsia="ko-KR"/>
              </w:rPr>
              <w:t>RAN2#119bis-e agreement:</w:t>
            </w:r>
          </w:p>
          <w:p w14:paraId="38F832CB" w14:textId="6CF7A7E3" w:rsidR="00D11594" w:rsidRDefault="00D11594" w:rsidP="00AA66B9">
            <w:pPr>
              <w:jc w:val="both"/>
              <w:rPr>
                <w:lang w:val="en-US" w:eastAsia="ko-KR"/>
              </w:rPr>
            </w:pPr>
            <w:r w:rsidRPr="007B27B0">
              <w:rPr>
                <w:lang w:val="en-US" w:eastAsia="ko-KR"/>
              </w:rPr>
              <w:t>1.</w:t>
            </w:r>
            <w:r>
              <w:rPr>
                <w:lang w:val="en-US" w:eastAsia="ko-KR"/>
              </w:rPr>
              <w:t xml:space="preserve"> </w:t>
            </w:r>
            <w:r w:rsidRPr="007B27B0">
              <w:rPr>
                <w:lang w:val="en-US" w:eastAsia="ko-KR"/>
              </w:rPr>
              <w:t>Continue the discussion (in future meeting) on group HO / “UE specific pre-configuration of the target cell + group HO” indication in the next meeting, also on the possible real benefits</w:t>
            </w:r>
          </w:p>
          <w:p w14:paraId="6E79A087" w14:textId="07760A8C" w:rsidR="00D11594" w:rsidRPr="003C79F3" w:rsidRDefault="00D11594" w:rsidP="00D11594">
            <w:pPr>
              <w:jc w:val="both"/>
              <w:rPr>
                <w:lang w:val="en-US" w:eastAsia="ko-KR"/>
              </w:rPr>
            </w:pPr>
            <w:r>
              <w:rPr>
                <w:rFonts w:hint="eastAsia"/>
                <w:lang w:val="en-US" w:eastAsia="ko-KR"/>
              </w:rPr>
              <w:t xml:space="preserve">2. </w:t>
            </w:r>
            <w:r w:rsidRPr="003C79F3">
              <w:rPr>
                <w:lang w:val="en-US" w:eastAsia="ko-KR"/>
              </w:rPr>
              <w:t xml:space="preserve">New Proposal 2: RAN2 continues the discussion (e.g. at RAN2#120) on the solution with keeping the same PCI after switching of the satellites. Clarify at least the following: </w:t>
            </w:r>
          </w:p>
          <w:p w14:paraId="4B103A6D" w14:textId="77777777" w:rsidR="00D11594" w:rsidRPr="003C79F3" w:rsidRDefault="00D11594" w:rsidP="00D11594">
            <w:pPr>
              <w:jc w:val="both"/>
              <w:rPr>
                <w:lang w:val="en-US" w:eastAsia="ko-KR"/>
              </w:rPr>
            </w:pPr>
            <w:r w:rsidRPr="003C79F3">
              <w:rPr>
                <w:lang w:val="en-US" w:eastAsia="ko-KR"/>
              </w:rPr>
              <w:tab/>
              <w:t>•</w:t>
            </w:r>
            <w:r w:rsidRPr="003C79F3">
              <w:rPr>
                <w:lang w:val="en-US" w:eastAsia="ko-KR"/>
              </w:rPr>
              <w:tab/>
              <w:t>RAN1 impact</w:t>
            </w:r>
          </w:p>
          <w:p w14:paraId="489E4A47" w14:textId="77777777" w:rsidR="00D11594" w:rsidRPr="003C79F3" w:rsidRDefault="00D11594" w:rsidP="00D11594">
            <w:pPr>
              <w:jc w:val="both"/>
              <w:rPr>
                <w:lang w:val="en-US" w:eastAsia="ko-KR"/>
              </w:rPr>
            </w:pPr>
            <w:r w:rsidRPr="003C79F3">
              <w:rPr>
                <w:lang w:val="en-US" w:eastAsia="ko-KR"/>
              </w:rPr>
              <w:tab/>
              <w:t>•</w:t>
            </w:r>
            <w:r w:rsidRPr="003C79F3">
              <w:rPr>
                <w:lang w:val="en-US" w:eastAsia="ko-KR"/>
              </w:rPr>
              <w:tab/>
              <w:t xml:space="preserve">The need to perform UL beam switching and/or RA </w:t>
            </w:r>
          </w:p>
          <w:p w14:paraId="2FE2D482" w14:textId="7B946818" w:rsidR="00D11594" w:rsidRDefault="00D11594" w:rsidP="00D11594">
            <w:pPr>
              <w:jc w:val="both"/>
              <w:rPr>
                <w:lang w:val="en-US" w:eastAsia="ko-KR"/>
              </w:rPr>
            </w:pPr>
            <w:r w:rsidRPr="003C79F3">
              <w:rPr>
                <w:lang w:val="en-US" w:eastAsia="ko-KR"/>
              </w:rPr>
              <w:tab/>
              <w:t>•</w:t>
            </w:r>
            <w:r w:rsidRPr="003C79F3">
              <w:rPr>
                <w:lang w:val="en-US" w:eastAsia="ko-KR"/>
              </w:rPr>
              <w:tab/>
              <w:t>Applicability to hard or soft satellite switching</w:t>
            </w:r>
          </w:p>
        </w:tc>
      </w:tr>
    </w:tbl>
    <w:p w14:paraId="0E20B2E5" w14:textId="7FF75662" w:rsidR="00467183" w:rsidRPr="000448EE" w:rsidRDefault="00467183" w:rsidP="00D11594">
      <w:pPr>
        <w:spacing w:before="180"/>
        <w:ind w:firstLineChars="100" w:firstLine="200"/>
        <w:rPr>
          <w:bCs/>
          <w:lang w:eastAsia="ko-KR"/>
        </w:rPr>
      </w:pPr>
      <w:r w:rsidRPr="00467183">
        <w:rPr>
          <w:bCs/>
          <w:lang w:eastAsia="ko-KR"/>
        </w:rPr>
        <w:t xml:space="preserve">In this </w:t>
      </w:r>
      <w:r w:rsidR="00D11594">
        <w:rPr>
          <w:bCs/>
          <w:lang w:eastAsia="ko-KR"/>
        </w:rPr>
        <w:t>document</w:t>
      </w:r>
      <w:r w:rsidRPr="00467183">
        <w:rPr>
          <w:bCs/>
          <w:lang w:eastAsia="ko-KR"/>
        </w:rPr>
        <w:t xml:space="preserve">, we </w:t>
      </w:r>
      <w:r w:rsidR="00D11594">
        <w:rPr>
          <w:bCs/>
          <w:lang w:eastAsia="ko-KR"/>
        </w:rPr>
        <w:t xml:space="preserve">provide our views on </w:t>
      </w:r>
      <w:r w:rsidR="00882293">
        <w:rPr>
          <w:bCs/>
          <w:lang w:eastAsia="ko-KR"/>
        </w:rPr>
        <w:t>HO</w:t>
      </w:r>
      <w:r w:rsidR="00D11594">
        <w:rPr>
          <w:bCs/>
          <w:lang w:eastAsia="ko-KR"/>
        </w:rPr>
        <w:t xml:space="preserve"> enhancements for mitigating handover signalling concentration</w:t>
      </w:r>
      <w:r w:rsidRPr="00467183">
        <w:rPr>
          <w:bCs/>
          <w:lang w:eastAsia="ko-KR"/>
        </w:rPr>
        <w:t>.</w:t>
      </w:r>
    </w:p>
    <w:p w14:paraId="41C5D601" w14:textId="5DAFABFE" w:rsidR="00627D12" w:rsidRDefault="00B02523" w:rsidP="00627D12">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376621FD" w14:textId="0AA07159" w:rsidR="00627D12" w:rsidRPr="00627D12" w:rsidRDefault="00627D12" w:rsidP="00627D12">
      <w:pPr>
        <w:pStyle w:val="3"/>
        <w:rPr>
          <w:lang w:val="en-US" w:eastAsia="ko-KR"/>
        </w:rPr>
      </w:pPr>
      <w:r>
        <w:rPr>
          <w:rFonts w:hint="eastAsia"/>
          <w:lang w:val="en-US" w:eastAsia="ko-KR"/>
        </w:rPr>
        <w:t xml:space="preserve">2.1 </w:t>
      </w:r>
      <w:r>
        <w:rPr>
          <w:lang w:val="en-US" w:eastAsia="ko-KR"/>
        </w:rPr>
        <w:t>UE-specific pre-configuration of HO command</w:t>
      </w:r>
    </w:p>
    <w:p w14:paraId="0EC1A47A" w14:textId="4C0ACB53" w:rsidR="00D11594" w:rsidRDefault="00D11594" w:rsidP="00D11594">
      <w:pPr>
        <w:spacing w:before="120" w:after="120"/>
        <w:ind w:firstLineChars="100" w:firstLine="200"/>
        <w:jc w:val="both"/>
        <w:rPr>
          <w:lang w:eastAsia="ko-KR"/>
        </w:rPr>
      </w:pPr>
      <w:r>
        <w:rPr>
          <w:lang w:eastAsia="ko-KR"/>
        </w:rPr>
        <w:t xml:space="preserve">As discussed in Rel-16 NTN SI and captured in TR 38.821, massive </w:t>
      </w:r>
      <w:r w:rsidR="00882293">
        <w:rPr>
          <w:lang w:eastAsia="ko-KR"/>
        </w:rPr>
        <w:t>HO</w:t>
      </w:r>
      <w:r>
        <w:rPr>
          <w:lang w:eastAsia="ko-KR"/>
        </w:rPr>
        <w:t xml:space="preserve"> signalling concentration is identified due to satellite movement. For quasi-earth fixed scenarios, UEs should perform </w:t>
      </w:r>
      <w:r w:rsidR="00882293">
        <w:rPr>
          <w:lang w:eastAsia="ko-KR"/>
        </w:rPr>
        <w:t>HO</w:t>
      </w:r>
      <w:r>
        <w:rPr>
          <w:lang w:eastAsia="ko-KR"/>
        </w:rPr>
        <w:t xml:space="preserve"> before serving cell stops serving the area. In this case, network provides </w:t>
      </w:r>
      <w:r w:rsidRPr="00D11594">
        <w:rPr>
          <w:i/>
          <w:lang w:eastAsia="ko-KR"/>
        </w:rPr>
        <w:t>RRCReconfiguration</w:t>
      </w:r>
      <w:r>
        <w:rPr>
          <w:lang w:eastAsia="ko-KR"/>
        </w:rPr>
        <w:t xml:space="preserve"> message to the UEs at the same time. Considering the enormous number of UEs served by the quasi-earth fixed cell, concentrated </w:t>
      </w:r>
      <w:r w:rsidR="00882293">
        <w:rPr>
          <w:lang w:eastAsia="ko-KR"/>
        </w:rPr>
        <w:t>HO</w:t>
      </w:r>
      <w:r>
        <w:rPr>
          <w:lang w:eastAsia="ko-KR"/>
        </w:rPr>
        <w:t xml:space="preserve"> triggering causes an excessive burden to the network. Moreover, the UEs triggered to perform </w:t>
      </w:r>
      <w:r w:rsidR="00882293">
        <w:rPr>
          <w:lang w:eastAsia="ko-KR"/>
        </w:rPr>
        <w:t>HO</w:t>
      </w:r>
      <w:r>
        <w:rPr>
          <w:lang w:eastAsia="ko-KR"/>
        </w:rPr>
        <w:t xml:space="preserve"> try to transmit PRACH to target cell at the same time causing RACH congestion, in which UEs suffer from undesirable </w:t>
      </w:r>
      <w:r w:rsidR="00882293">
        <w:rPr>
          <w:lang w:eastAsia="ko-KR"/>
        </w:rPr>
        <w:t>HO</w:t>
      </w:r>
      <w:r>
        <w:rPr>
          <w:lang w:eastAsia="ko-KR"/>
        </w:rPr>
        <w:t xml:space="preserve"> delays.</w:t>
      </w:r>
    </w:p>
    <w:p w14:paraId="59D5C593" w14:textId="2E8FD4BE" w:rsidR="00D11594" w:rsidRPr="00D11594" w:rsidRDefault="00882293" w:rsidP="000B6C5E">
      <w:pPr>
        <w:spacing w:before="120" w:after="120"/>
        <w:ind w:firstLineChars="100" w:firstLine="200"/>
        <w:jc w:val="both"/>
        <w:rPr>
          <w:lang w:eastAsia="ko-KR"/>
        </w:rPr>
      </w:pPr>
      <w:r>
        <w:rPr>
          <w:lang w:eastAsia="ko-KR"/>
        </w:rPr>
        <w:t>HO</w:t>
      </w:r>
      <w:r w:rsidR="00D11594">
        <w:rPr>
          <w:lang w:eastAsia="ko-KR"/>
        </w:rPr>
        <w:t xml:space="preserve"> signalling concentration can be briefly mitigated by distributing </w:t>
      </w:r>
      <w:r>
        <w:rPr>
          <w:lang w:eastAsia="ko-KR"/>
        </w:rPr>
        <w:t>HO</w:t>
      </w:r>
      <w:r w:rsidR="00D11594">
        <w:rPr>
          <w:lang w:eastAsia="ko-KR"/>
        </w:rPr>
        <w:t xml:space="preserve"> timing of UEs. Network may provide pre-configuration of target cell in advance and trigger </w:t>
      </w:r>
      <w:r>
        <w:rPr>
          <w:lang w:eastAsia="ko-KR"/>
        </w:rPr>
        <w:t>HO</w:t>
      </w:r>
      <w:r w:rsidR="00D11594">
        <w:rPr>
          <w:lang w:eastAsia="ko-KR"/>
        </w:rPr>
        <w:t xml:space="preserve">s within certain time period. CHO introduced in Rel-17 NTN can be good option to provide both pre-configuration of target cell and </w:t>
      </w:r>
      <w:r>
        <w:rPr>
          <w:lang w:eastAsia="ko-KR"/>
        </w:rPr>
        <w:t>HO</w:t>
      </w:r>
      <w:r w:rsidR="00D11594">
        <w:rPr>
          <w:lang w:eastAsia="ko-KR"/>
        </w:rPr>
        <w:t xml:space="preserve"> triggering timing. For example, network configures </w:t>
      </w:r>
      <w:r w:rsidR="00DA1458">
        <w:rPr>
          <w:lang w:eastAsia="ko-KR"/>
        </w:rPr>
        <w:t xml:space="preserve">various </w:t>
      </w:r>
      <w:r w:rsidR="00D11594" w:rsidRPr="00D11594">
        <w:rPr>
          <w:i/>
          <w:lang w:eastAsia="ko-KR"/>
        </w:rPr>
        <w:t>Mt</w:t>
      </w:r>
      <w:r w:rsidR="00D11594">
        <w:rPr>
          <w:lang w:eastAsia="ko-KR"/>
        </w:rPr>
        <w:t xml:space="preserve"> of time-based conditional event, i.e., CondEvent T1, as a time point </w:t>
      </w:r>
      <w:r w:rsidR="00DA1458">
        <w:rPr>
          <w:lang w:eastAsia="ko-KR"/>
        </w:rPr>
        <w:t xml:space="preserve">of </w:t>
      </w:r>
      <w:r>
        <w:rPr>
          <w:lang w:eastAsia="ko-KR"/>
        </w:rPr>
        <w:t>HO</w:t>
      </w:r>
      <w:r w:rsidR="00DA1458">
        <w:rPr>
          <w:lang w:eastAsia="ko-KR"/>
        </w:rPr>
        <w:t xml:space="preserve"> timing among UEs</w:t>
      </w:r>
      <w:r w:rsidR="00D11594">
        <w:rPr>
          <w:lang w:eastAsia="ko-KR"/>
        </w:rPr>
        <w:t xml:space="preserve">. In addition, network also configures RRM-based conditional event, e.g., CondEvent A4 to be satisfied at configured </w:t>
      </w:r>
      <w:r w:rsidR="00D11594" w:rsidRPr="00D11594">
        <w:rPr>
          <w:i/>
          <w:lang w:eastAsia="ko-KR"/>
        </w:rPr>
        <w:t>Mt</w:t>
      </w:r>
      <w:r w:rsidR="00D11594">
        <w:rPr>
          <w:lang w:eastAsia="ko-KR"/>
        </w:rPr>
        <w:t>.</w:t>
      </w:r>
      <w:r w:rsidR="00D11594">
        <w:rPr>
          <w:rFonts w:hint="eastAsia"/>
          <w:lang w:eastAsia="ko-KR"/>
        </w:rPr>
        <w:t xml:space="preserve"> </w:t>
      </w:r>
      <w:r w:rsidR="00FC2591">
        <w:rPr>
          <w:lang w:eastAsia="ko-KR"/>
        </w:rPr>
        <w:t xml:space="preserve">By combining two conditions, UEs automatically perform </w:t>
      </w:r>
      <w:r>
        <w:rPr>
          <w:lang w:eastAsia="ko-KR"/>
        </w:rPr>
        <w:t>HO</w:t>
      </w:r>
      <w:r w:rsidR="00FC2591">
        <w:rPr>
          <w:lang w:eastAsia="ko-KR"/>
        </w:rPr>
        <w:t xml:space="preserve"> at configured timing leading to distributed </w:t>
      </w:r>
      <w:r>
        <w:rPr>
          <w:lang w:eastAsia="ko-KR"/>
        </w:rPr>
        <w:t>HO</w:t>
      </w:r>
      <w:r w:rsidR="00FC2591">
        <w:rPr>
          <w:lang w:eastAsia="ko-KR"/>
        </w:rPr>
        <w:t xml:space="preserve">. </w:t>
      </w:r>
      <w:r w:rsidR="00DA1458">
        <w:rPr>
          <w:lang w:eastAsia="ko-KR"/>
        </w:rPr>
        <w:t xml:space="preserve">Consequently, CHO-based pre-configuration reduces </w:t>
      </w:r>
      <w:r>
        <w:rPr>
          <w:lang w:eastAsia="ko-KR"/>
        </w:rPr>
        <w:t>HO</w:t>
      </w:r>
      <w:r w:rsidR="00DA1458">
        <w:rPr>
          <w:lang w:eastAsia="ko-KR"/>
        </w:rPr>
        <w:t xml:space="preserve"> signalling by skipping triggering indication</w:t>
      </w:r>
      <w:r w:rsidR="00FC2591">
        <w:rPr>
          <w:lang w:eastAsia="ko-KR"/>
        </w:rPr>
        <w:t>, and</w:t>
      </w:r>
      <w:r w:rsidR="000B6C5E">
        <w:rPr>
          <w:lang w:eastAsia="ko-KR"/>
        </w:rPr>
        <w:t xml:space="preserve"> </w:t>
      </w:r>
      <w:r w:rsidR="00FC2591">
        <w:rPr>
          <w:lang w:eastAsia="ko-KR"/>
        </w:rPr>
        <w:t xml:space="preserve">alleviates </w:t>
      </w:r>
      <w:r w:rsidR="00D11594">
        <w:rPr>
          <w:lang w:eastAsia="ko-KR"/>
        </w:rPr>
        <w:t xml:space="preserve">RACH congestion </w:t>
      </w:r>
      <w:r w:rsidR="000B6C5E">
        <w:rPr>
          <w:lang w:eastAsia="ko-KR"/>
        </w:rPr>
        <w:t xml:space="preserve">thanks to distributed </w:t>
      </w:r>
      <w:r>
        <w:rPr>
          <w:lang w:eastAsia="ko-KR"/>
        </w:rPr>
        <w:t>HO</w:t>
      </w:r>
      <w:r w:rsidR="000B6C5E">
        <w:rPr>
          <w:lang w:eastAsia="ko-KR"/>
        </w:rPr>
        <w:t xml:space="preserve"> triggering,</w:t>
      </w:r>
      <w:r w:rsidR="00D11594">
        <w:rPr>
          <w:lang w:eastAsia="ko-KR"/>
        </w:rPr>
        <w:t>.</w:t>
      </w:r>
    </w:p>
    <w:p w14:paraId="7D45023D" w14:textId="0130C31D" w:rsidR="00D11594" w:rsidRPr="00915897" w:rsidRDefault="00D11594" w:rsidP="00D11594">
      <w:pPr>
        <w:spacing w:before="120" w:after="120"/>
        <w:ind w:left="1400" w:hangingChars="700" w:hanging="1400"/>
        <w:jc w:val="both"/>
        <w:rPr>
          <w:rFonts w:eastAsia="맑은 고딕"/>
          <w:b/>
          <w:lang w:val="en-US" w:eastAsia="ko-KR"/>
        </w:rPr>
      </w:pPr>
      <w:r w:rsidRPr="00915897">
        <w:rPr>
          <w:rFonts w:eastAsia="맑은 고딕" w:hint="eastAsia"/>
          <w:b/>
          <w:lang w:val="en-US" w:eastAsia="ko-KR"/>
        </w:rPr>
        <w:t>Observation</w:t>
      </w:r>
      <w:r>
        <w:rPr>
          <w:rFonts w:eastAsia="맑은 고딕"/>
          <w:b/>
          <w:lang w:val="en-US" w:eastAsia="ko-KR"/>
        </w:rPr>
        <w:t xml:space="preserve"> 1</w:t>
      </w:r>
      <w:r w:rsidRPr="00915897">
        <w:rPr>
          <w:rFonts w:eastAsia="맑은 고딕"/>
          <w:b/>
          <w:lang w:val="en-US" w:eastAsia="ko-KR"/>
        </w:rPr>
        <w:tab/>
        <w:t xml:space="preserve">Distributing </w:t>
      </w:r>
      <w:r w:rsidR="00882293">
        <w:rPr>
          <w:rFonts w:eastAsia="맑은 고딕"/>
          <w:b/>
          <w:lang w:val="en-US" w:eastAsia="ko-KR"/>
        </w:rPr>
        <w:t>HO</w:t>
      </w:r>
      <w:r w:rsidRPr="00915897">
        <w:rPr>
          <w:rFonts w:eastAsia="맑은 고딕"/>
          <w:b/>
          <w:lang w:val="en-US" w:eastAsia="ko-KR"/>
        </w:rPr>
        <w:t xml:space="preserve"> timing of UEs is benefi</w:t>
      </w:r>
      <w:r>
        <w:rPr>
          <w:rFonts w:eastAsia="맑은 고딕"/>
          <w:b/>
          <w:lang w:val="en-US" w:eastAsia="ko-KR"/>
        </w:rPr>
        <w:t>c</w:t>
      </w:r>
      <w:r w:rsidRPr="00915897">
        <w:rPr>
          <w:rFonts w:eastAsia="맑은 고딕"/>
          <w:b/>
          <w:lang w:val="en-US" w:eastAsia="ko-KR"/>
        </w:rPr>
        <w:t>ial to mitigating concentration of HO command and RACH congestion.</w:t>
      </w:r>
    </w:p>
    <w:p w14:paraId="5B73D2AC" w14:textId="77777777" w:rsidR="00D11594" w:rsidRPr="00A306E4" w:rsidRDefault="00D11594" w:rsidP="00D11594">
      <w:pPr>
        <w:spacing w:before="120" w:after="120"/>
        <w:ind w:left="1400" w:hangingChars="700" w:hanging="1400"/>
        <w:jc w:val="both"/>
        <w:rPr>
          <w:b/>
          <w:lang w:val="en-US" w:eastAsia="ko-KR"/>
        </w:rPr>
      </w:pPr>
      <w:r w:rsidRPr="00072503">
        <w:rPr>
          <w:rFonts w:eastAsia="맑은 고딕" w:hint="eastAsia"/>
          <w:b/>
          <w:lang w:val="en-US" w:eastAsia="ko-KR"/>
        </w:rPr>
        <w:t>Proposal</w:t>
      </w:r>
      <w:r w:rsidRPr="00072503">
        <w:rPr>
          <w:rFonts w:eastAsia="맑은 고딕"/>
          <w:b/>
          <w:lang w:val="en-US" w:eastAsia="ko-KR"/>
        </w:rPr>
        <w:t xml:space="preserve"> 1</w:t>
      </w:r>
      <w:r w:rsidRPr="00072503">
        <w:rPr>
          <w:rFonts w:eastAsia="맑은 고딕"/>
          <w:b/>
          <w:lang w:val="en-US" w:eastAsia="ko-KR"/>
        </w:rPr>
        <w:tab/>
      </w:r>
      <w:r w:rsidRPr="00072503">
        <w:rPr>
          <w:rFonts w:eastAsia="맑은 고딕" w:hint="eastAsia"/>
          <w:b/>
          <w:lang w:val="en-US" w:eastAsia="ko-KR"/>
        </w:rPr>
        <w:t xml:space="preserve">CHO configuration is a baseline for </w:t>
      </w:r>
      <w:r w:rsidRPr="00072503">
        <w:rPr>
          <w:rFonts w:eastAsia="맑은 고딕"/>
          <w:b/>
          <w:lang w:val="en-US" w:eastAsia="ko-KR"/>
        </w:rPr>
        <w:t>providing</w:t>
      </w:r>
      <w:r w:rsidRPr="00072503">
        <w:rPr>
          <w:rFonts w:eastAsia="맑은 고딕" w:hint="eastAsia"/>
          <w:b/>
          <w:lang w:val="en-US" w:eastAsia="ko-KR"/>
        </w:rPr>
        <w:t xml:space="preserve"> UE-specific pre-configuration of target cell</w:t>
      </w:r>
      <w:r w:rsidRPr="00072503">
        <w:rPr>
          <w:rFonts w:eastAsia="맑은 고딕"/>
          <w:b/>
          <w:lang w:val="en-US" w:eastAsia="ko-KR"/>
        </w:rPr>
        <w:t>.</w:t>
      </w:r>
    </w:p>
    <w:p w14:paraId="43DB76C9" w14:textId="7C7980CB" w:rsidR="00D11594" w:rsidRDefault="00D11594" w:rsidP="00D11594">
      <w:pPr>
        <w:spacing w:before="120" w:after="120"/>
        <w:ind w:left="1400" w:hangingChars="700" w:hanging="1400"/>
        <w:jc w:val="both"/>
        <w:rPr>
          <w:rFonts w:eastAsia="맑은 고딕"/>
          <w:b/>
          <w:lang w:val="en-US" w:eastAsia="ko-KR"/>
        </w:rPr>
      </w:pPr>
      <w:r w:rsidRPr="00D11594">
        <w:rPr>
          <w:rFonts w:eastAsia="맑은 고딕"/>
          <w:b/>
          <w:lang w:val="en-US" w:eastAsia="ko-KR"/>
        </w:rPr>
        <w:t>Proposal 2</w:t>
      </w:r>
      <w:r w:rsidRPr="00D11594">
        <w:rPr>
          <w:rFonts w:eastAsia="맑은 고딕"/>
          <w:b/>
          <w:lang w:val="en-US" w:eastAsia="ko-KR"/>
        </w:rPr>
        <w:tab/>
        <w:t xml:space="preserve">RAN2 confirms that appropriate configuration of </w:t>
      </w:r>
      <w:r>
        <w:rPr>
          <w:rFonts w:eastAsia="맑은 고딕"/>
          <w:b/>
          <w:lang w:val="en-US" w:eastAsia="ko-KR"/>
        </w:rPr>
        <w:t>C</w:t>
      </w:r>
      <w:r w:rsidRPr="00D11594">
        <w:rPr>
          <w:rFonts w:eastAsia="맑은 고딕"/>
          <w:b/>
          <w:lang w:val="en-US" w:eastAsia="ko-KR"/>
        </w:rPr>
        <w:t xml:space="preserve">ondEvent T1 and RRM-based conditional event can be used to distribute the HO </w:t>
      </w:r>
      <w:r>
        <w:rPr>
          <w:rFonts w:eastAsia="맑은 고딕"/>
          <w:b/>
          <w:lang w:val="en-US" w:eastAsia="ko-KR"/>
        </w:rPr>
        <w:t>timing</w:t>
      </w:r>
      <w:r w:rsidRPr="00D11594">
        <w:rPr>
          <w:rFonts w:eastAsia="맑은 고딕"/>
          <w:b/>
          <w:lang w:val="en-US" w:eastAsia="ko-KR"/>
        </w:rPr>
        <w:t>.</w:t>
      </w:r>
    </w:p>
    <w:p w14:paraId="4A46384D" w14:textId="402F8532" w:rsidR="00627D12" w:rsidRDefault="00627D12" w:rsidP="00D11594">
      <w:pPr>
        <w:spacing w:before="120" w:after="120"/>
        <w:ind w:left="1374" w:hangingChars="700" w:hanging="1374"/>
        <w:jc w:val="both"/>
        <w:rPr>
          <w:lang w:eastAsia="ko-KR"/>
        </w:rPr>
      </w:pPr>
      <w:r>
        <w:rPr>
          <w:b/>
          <w:lang w:val="en-US" w:eastAsia="ko-KR"/>
        </w:rPr>
        <w:t>Proposal 3</w:t>
      </w:r>
      <w:r>
        <w:rPr>
          <w:b/>
          <w:lang w:val="en-US" w:eastAsia="ko-KR"/>
        </w:rPr>
        <w:tab/>
      </w:r>
      <w:r w:rsidRPr="00672215">
        <w:rPr>
          <w:b/>
          <w:lang w:val="en-US" w:eastAsia="ko-KR"/>
        </w:rPr>
        <w:t>A new HO trig</w:t>
      </w:r>
      <w:r>
        <w:rPr>
          <w:b/>
          <w:lang w:val="en-US" w:eastAsia="ko-KR"/>
        </w:rPr>
        <w:t>gering indication is not needed.</w:t>
      </w:r>
    </w:p>
    <w:p w14:paraId="08D875CB" w14:textId="1E3316C4" w:rsidR="00627D12" w:rsidRPr="00627D12" w:rsidRDefault="00627D12" w:rsidP="00627D12">
      <w:pPr>
        <w:pStyle w:val="3"/>
        <w:rPr>
          <w:lang w:val="en-US" w:eastAsia="ko-KR"/>
        </w:rPr>
      </w:pPr>
      <w:r>
        <w:rPr>
          <w:rFonts w:hint="eastAsia"/>
          <w:lang w:val="en-US" w:eastAsia="ko-KR"/>
        </w:rPr>
        <w:lastRenderedPageBreak/>
        <w:t>2.</w:t>
      </w:r>
      <w:r>
        <w:rPr>
          <w:lang w:val="en-US" w:eastAsia="ko-KR"/>
        </w:rPr>
        <w:t>2</w:t>
      </w:r>
      <w:r>
        <w:rPr>
          <w:rFonts w:hint="eastAsia"/>
          <w:lang w:val="en-US" w:eastAsia="ko-KR"/>
        </w:rPr>
        <w:t xml:space="preserve"> </w:t>
      </w:r>
      <w:r>
        <w:rPr>
          <w:lang w:val="en-US" w:eastAsia="ko-KR"/>
        </w:rPr>
        <w:t>RACH-less HO enhancements</w:t>
      </w:r>
    </w:p>
    <w:p w14:paraId="0C5552B0" w14:textId="6D79B225" w:rsidR="00882293" w:rsidRDefault="00D11594" w:rsidP="00D11594">
      <w:pPr>
        <w:spacing w:before="120"/>
        <w:ind w:firstLineChars="100" w:firstLine="200"/>
        <w:jc w:val="both"/>
        <w:rPr>
          <w:lang w:eastAsia="ko-KR"/>
        </w:rPr>
      </w:pPr>
      <w:r>
        <w:rPr>
          <w:rFonts w:hint="eastAsia"/>
          <w:lang w:eastAsia="ko-KR"/>
        </w:rPr>
        <w:t xml:space="preserve">Despite of </w:t>
      </w:r>
      <w:r w:rsidR="00882293">
        <w:rPr>
          <w:lang w:eastAsia="ko-KR"/>
        </w:rPr>
        <w:t>HO timing distribution</w:t>
      </w:r>
      <w:r>
        <w:rPr>
          <w:rFonts w:hint="eastAsia"/>
          <w:lang w:eastAsia="ko-KR"/>
        </w:rPr>
        <w:t xml:space="preserve">, </w:t>
      </w:r>
      <w:r w:rsidR="000B6C5E">
        <w:rPr>
          <w:lang w:eastAsia="ko-KR"/>
        </w:rPr>
        <w:t xml:space="preserve">RACH congestion is inevitable problem </w:t>
      </w:r>
      <w:r w:rsidR="00882293">
        <w:rPr>
          <w:lang w:eastAsia="ko-KR"/>
        </w:rPr>
        <w:t>in certain scenarios, for example,</w:t>
      </w:r>
      <w:r w:rsidR="000B6C5E">
        <w:rPr>
          <w:lang w:eastAsia="ko-KR"/>
        </w:rPr>
        <w:t xml:space="preserve"> hard service link switch occurs. As target cell appears later than disappearance of the serving cell, </w:t>
      </w:r>
      <w:r w:rsidR="00882293">
        <w:rPr>
          <w:lang w:eastAsia="ko-KR"/>
        </w:rPr>
        <w:t>HO</w:t>
      </w:r>
      <w:r w:rsidR="000B6C5E">
        <w:rPr>
          <w:lang w:eastAsia="ko-KR"/>
        </w:rPr>
        <w:t xml:space="preserve"> timing of UEs cannot be distributed. </w:t>
      </w:r>
      <w:r w:rsidR="00882293">
        <w:rPr>
          <w:lang w:eastAsia="ko-KR"/>
        </w:rPr>
        <w:t xml:space="preserve">To this end, RACH-less HO is essential for NTN to solve RACH congestion problem. </w:t>
      </w:r>
    </w:p>
    <w:p w14:paraId="4B1119EF" w14:textId="70B418B8" w:rsidR="00882293" w:rsidRPr="00882293" w:rsidRDefault="00882293" w:rsidP="00882293">
      <w:pPr>
        <w:ind w:left="1374" w:hangingChars="700" w:hanging="1374"/>
        <w:jc w:val="both"/>
        <w:rPr>
          <w:rFonts w:eastAsia="맑은 고딕"/>
          <w:b/>
          <w:lang w:val="en-US" w:eastAsia="ko-KR"/>
        </w:rPr>
      </w:pPr>
      <w:r>
        <w:rPr>
          <w:b/>
          <w:lang w:val="en-US" w:eastAsia="ko-KR"/>
        </w:rPr>
        <w:t>Observation 2</w:t>
      </w:r>
      <w:r>
        <w:rPr>
          <w:b/>
          <w:lang w:val="en-US" w:eastAsia="ko-KR"/>
        </w:rPr>
        <w:tab/>
        <w:t>In case of hard service link switch, RACH-less HO may be beneficial to mitigate RACH congestion.</w:t>
      </w:r>
    </w:p>
    <w:p w14:paraId="6D7359B2" w14:textId="5C179AC8" w:rsidR="00D11594" w:rsidRDefault="00882293" w:rsidP="00D11594">
      <w:pPr>
        <w:spacing w:before="120"/>
        <w:ind w:firstLineChars="100" w:firstLine="200"/>
        <w:jc w:val="both"/>
        <w:rPr>
          <w:lang w:eastAsia="ko-KR"/>
        </w:rPr>
      </w:pPr>
      <w:r w:rsidRPr="00882293">
        <w:rPr>
          <w:lang w:val="en-US" w:eastAsia="ko-KR"/>
        </w:rPr>
        <w:t>In Rel-18 WI feMob, RACH-less HO for L1L2 triggered mobility is discussed. As L1L2 triggered mobility aims to minimize HO interruption time, enhancement for RACH-less HO is focused on framework to acquire TA of target cell. Specifically, UE acquires TA of candidate target cells configured by network, in which the UE performs HO to one of the candidate target cells.</w:t>
      </w:r>
    </w:p>
    <w:p w14:paraId="5A02E2DA" w14:textId="6ACF5181" w:rsidR="00882293" w:rsidRDefault="00882293" w:rsidP="00882293">
      <w:pPr>
        <w:ind w:left="1374" w:hangingChars="700" w:hanging="1374"/>
        <w:jc w:val="both"/>
        <w:rPr>
          <w:b/>
          <w:lang w:val="en-US" w:eastAsia="ko-KR"/>
        </w:rPr>
      </w:pPr>
      <w:r>
        <w:rPr>
          <w:b/>
          <w:lang w:val="en-US" w:eastAsia="ko-KR"/>
        </w:rPr>
        <w:t>Observation 3</w:t>
      </w:r>
      <w:r>
        <w:rPr>
          <w:b/>
          <w:lang w:val="en-US" w:eastAsia="ko-KR"/>
        </w:rPr>
        <w:tab/>
        <w:t>RACH-less HO discussed in feMob WI aims to minimize HO interruption time by acquiring TA of multiple candidate target cells in advance.</w:t>
      </w:r>
    </w:p>
    <w:p w14:paraId="20F246C2" w14:textId="12C4F184" w:rsidR="00882293" w:rsidRPr="00882293" w:rsidRDefault="00882293" w:rsidP="00882293">
      <w:pPr>
        <w:spacing w:before="120"/>
        <w:ind w:firstLineChars="100" w:firstLine="200"/>
        <w:jc w:val="both"/>
        <w:rPr>
          <w:lang w:val="en-US" w:eastAsia="ko-KR"/>
        </w:rPr>
      </w:pPr>
      <w:r>
        <w:rPr>
          <w:lang w:val="en-US" w:eastAsia="ko-KR"/>
        </w:rPr>
        <w:t>However, NTN UE does not need to maintain candidate target cell list. Thanks to TA pre-compensation capability, UE is able to obtain TA of certain target cell before performing HO.</w:t>
      </w:r>
      <w:r w:rsidR="00F97702">
        <w:rPr>
          <w:lang w:val="en-US" w:eastAsia="ko-KR"/>
        </w:rPr>
        <w:t xml:space="preserve"> </w:t>
      </w:r>
      <w:r w:rsidR="005E47BE">
        <w:rPr>
          <w:lang w:val="en-US" w:eastAsia="ko-KR"/>
        </w:rPr>
        <w:t>NTN-specific RACH-less HO enhancement may have small spec impact ,t</w:t>
      </w:r>
      <w:r>
        <w:rPr>
          <w:lang w:val="en-US" w:eastAsia="ko-KR"/>
        </w:rPr>
        <w:t>herefore, RAN2 shall discuss RACH-less HO enhancement separately with other WI.</w:t>
      </w:r>
    </w:p>
    <w:p w14:paraId="2821C765" w14:textId="59DAB3B6" w:rsidR="00882293" w:rsidRDefault="00882293" w:rsidP="00882293">
      <w:pPr>
        <w:ind w:left="1374" w:hangingChars="700" w:hanging="1374"/>
        <w:jc w:val="both"/>
        <w:rPr>
          <w:b/>
          <w:lang w:val="en-US" w:eastAsia="ko-KR"/>
        </w:rPr>
      </w:pPr>
      <w:r>
        <w:rPr>
          <w:rFonts w:hint="eastAsia"/>
          <w:b/>
          <w:lang w:val="en-US" w:eastAsia="ko-KR"/>
        </w:rPr>
        <w:t>Observation 4</w:t>
      </w:r>
      <w:r>
        <w:rPr>
          <w:rFonts w:hint="eastAsia"/>
          <w:b/>
          <w:lang w:val="en-US" w:eastAsia="ko-KR"/>
        </w:rPr>
        <w:tab/>
      </w:r>
      <w:r>
        <w:rPr>
          <w:b/>
          <w:lang w:val="en-US" w:eastAsia="ko-KR"/>
        </w:rPr>
        <w:t>Framework of RACH-less HO discussed in feMob is not suitable for NTN system, in which TA maintenance of multiple candidate target cells is not needed for NTN.</w:t>
      </w:r>
    </w:p>
    <w:p w14:paraId="3BC59A3D" w14:textId="4DC123FD" w:rsidR="00882293" w:rsidRDefault="00882293" w:rsidP="00882293">
      <w:pPr>
        <w:ind w:left="1374" w:hangingChars="700" w:hanging="1374"/>
        <w:jc w:val="both"/>
        <w:rPr>
          <w:b/>
          <w:lang w:val="en-US" w:eastAsia="ko-KR"/>
        </w:rPr>
      </w:pPr>
      <w:r w:rsidRPr="00882293">
        <w:rPr>
          <w:b/>
          <w:lang w:val="en-US" w:eastAsia="ko-KR"/>
        </w:rPr>
        <w:t>Proposal</w:t>
      </w:r>
      <w:r w:rsidR="00627D12">
        <w:rPr>
          <w:b/>
          <w:lang w:val="en-US" w:eastAsia="ko-KR"/>
        </w:rPr>
        <w:t xml:space="preserve"> 4</w:t>
      </w:r>
      <w:r w:rsidRPr="00882293">
        <w:rPr>
          <w:b/>
          <w:lang w:val="en-US" w:eastAsia="ko-KR"/>
        </w:rPr>
        <w:tab/>
      </w:r>
      <w:r w:rsidR="00F97702">
        <w:rPr>
          <w:b/>
          <w:lang w:val="en-US" w:eastAsia="ko-KR"/>
        </w:rPr>
        <w:t>M</w:t>
      </w:r>
      <w:r w:rsidR="00627D12">
        <w:rPr>
          <w:b/>
          <w:lang w:val="en-US" w:eastAsia="ko-KR"/>
        </w:rPr>
        <w:t>inimize spec impact of</w:t>
      </w:r>
      <w:r w:rsidR="00F97702">
        <w:rPr>
          <w:b/>
          <w:lang w:val="en-US" w:eastAsia="ko-KR"/>
        </w:rPr>
        <w:t xml:space="preserve"> </w:t>
      </w:r>
      <w:r>
        <w:rPr>
          <w:b/>
          <w:lang w:val="en-US" w:eastAsia="ko-KR"/>
        </w:rPr>
        <w:t>NTN-specific RACH-less HO enhancement</w:t>
      </w:r>
      <w:r w:rsidR="00F97702">
        <w:rPr>
          <w:b/>
          <w:lang w:val="en-US" w:eastAsia="ko-KR"/>
        </w:rPr>
        <w:t xml:space="preserve"> by utilizing TA pre-compensation capability</w:t>
      </w:r>
      <w:r w:rsidRPr="00882293">
        <w:rPr>
          <w:b/>
          <w:lang w:val="en-US" w:eastAsia="ko-KR"/>
        </w:rPr>
        <w:t>.</w:t>
      </w:r>
    </w:p>
    <w:p w14:paraId="319C16CD" w14:textId="3B71134F" w:rsidR="00882293" w:rsidRPr="00915897" w:rsidRDefault="00882293" w:rsidP="00882293">
      <w:pPr>
        <w:spacing w:before="120"/>
        <w:ind w:firstLineChars="100" w:firstLine="200"/>
        <w:jc w:val="both"/>
        <w:rPr>
          <w:rFonts w:eastAsia="맑은 고딕"/>
          <w:b/>
          <w:lang w:val="en-US" w:eastAsia="ko-KR"/>
        </w:rPr>
      </w:pPr>
      <w:r>
        <w:rPr>
          <w:lang w:val="en-US" w:eastAsia="ko-KR"/>
        </w:rPr>
        <w:t>In NTN, pre-compensation of TA is propagation delay between UE and uplink time synchronization reference point. To communicate with gNB, UE should additionally consider propagation delay between reference point and gNB. If UE conducts RACH procedure with N</w:t>
      </w:r>
      <w:r w:rsidRPr="00882293">
        <w:rPr>
          <w:vertAlign w:val="subscript"/>
          <w:lang w:val="en-US" w:eastAsia="ko-KR"/>
        </w:rPr>
        <w:t>TA</w:t>
      </w:r>
      <w:r>
        <w:rPr>
          <w:lang w:val="en-US" w:eastAsia="ko-KR"/>
        </w:rPr>
        <w:t>=0, network configures N</w:t>
      </w:r>
      <w:r w:rsidRPr="00882293">
        <w:rPr>
          <w:vertAlign w:val="subscript"/>
          <w:lang w:val="en-US" w:eastAsia="ko-KR"/>
        </w:rPr>
        <w:t>TA</w:t>
      </w:r>
      <w:r>
        <w:rPr>
          <w:lang w:val="en-US" w:eastAsia="ko-KR"/>
        </w:rPr>
        <w:t xml:space="preserve"> value as the propagation delay between reference point and gNB.</w:t>
      </w:r>
    </w:p>
    <w:p w14:paraId="26BAF638" w14:textId="445B9CB1" w:rsidR="00882293" w:rsidRDefault="00882293" w:rsidP="00882293">
      <w:pPr>
        <w:ind w:left="1374" w:hangingChars="700" w:hanging="1374"/>
        <w:jc w:val="both"/>
        <w:rPr>
          <w:b/>
          <w:lang w:val="en-US" w:eastAsia="ko-KR"/>
        </w:rPr>
      </w:pPr>
      <w:r>
        <w:rPr>
          <w:b/>
          <w:lang w:val="en-US" w:eastAsia="ko-KR"/>
        </w:rPr>
        <w:t xml:space="preserve">Observation </w:t>
      </w:r>
      <w:r w:rsidR="00627D12">
        <w:rPr>
          <w:b/>
          <w:lang w:val="en-US" w:eastAsia="ko-KR"/>
        </w:rPr>
        <w:t>5</w:t>
      </w:r>
      <w:r>
        <w:rPr>
          <w:b/>
          <w:lang w:val="en-US" w:eastAsia="ko-KR"/>
        </w:rPr>
        <w:tab/>
        <w:t>Total TA of NTN UE shall be derived by summation of pre-compensated TA and propagation delay between reference point and gNB.</w:t>
      </w:r>
    </w:p>
    <w:p w14:paraId="1E3C9011" w14:textId="2B695F85" w:rsidR="00882293" w:rsidRDefault="00882293" w:rsidP="00882293">
      <w:pPr>
        <w:spacing w:before="120"/>
        <w:ind w:firstLineChars="100" w:firstLine="200"/>
        <w:jc w:val="both"/>
        <w:rPr>
          <w:lang w:val="en-US" w:eastAsia="ko-KR"/>
        </w:rPr>
      </w:pPr>
      <w:r>
        <w:rPr>
          <w:lang w:val="en-US" w:eastAsia="ko-KR"/>
        </w:rPr>
        <w:t>In RAN2#120 meeting, RAN2 sent an LS to RAN1 as follows:</w:t>
      </w:r>
    </w:p>
    <w:tbl>
      <w:tblPr>
        <w:tblStyle w:val="af4"/>
        <w:tblW w:w="0" w:type="auto"/>
        <w:tblLook w:val="04A0" w:firstRow="1" w:lastRow="0" w:firstColumn="1" w:lastColumn="0" w:noHBand="0" w:noVBand="1"/>
      </w:tblPr>
      <w:tblGrid>
        <w:gridCol w:w="9629"/>
      </w:tblGrid>
      <w:tr w:rsidR="00882293" w14:paraId="53CD697D" w14:textId="77777777" w:rsidTr="00882293">
        <w:tc>
          <w:tcPr>
            <w:tcW w:w="9629" w:type="dxa"/>
          </w:tcPr>
          <w:p w14:paraId="614577CC" w14:textId="77777777" w:rsidR="00882293" w:rsidRPr="002C5454" w:rsidRDefault="00882293" w:rsidP="00882293">
            <w:pPr>
              <w:snapToGrid w:val="0"/>
              <w:spacing w:after="100"/>
              <w:jc w:val="both"/>
              <w:rPr>
                <w:rFonts w:eastAsia="MS Mincho"/>
              </w:rPr>
            </w:pPr>
            <w:r w:rsidRPr="002C5454">
              <w:rPr>
                <w:rFonts w:eastAsia="SimSun"/>
                <w:lang w:eastAsia="zh-CN"/>
              </w:rPr>
              <w:t xml:space="preserve">For mobility enhancement in Rel-18 NR NTN, RAN2 has discussed RACH-less handover. RAN2 would like to check with RAN1 </w:t>
            </w:r>
            <w:r w:rsidRPr="002C5454">
              <w:t>in which of the following listed scenarios RACH-less handover is possible.</w:t>
            </w:r>
          </w:p>
          <w:p w14:paraId="4111B3E9" w14:textId="77777777" w:rsidR="00882293" w:rsidRPr="002C5454" w:rsidRDefault="00882293" w:rsidP="00882293">
            <w:pPr>
              <w:snapToGrid w:val="0"/>
              <w:spacing w:after="100"/>
              <w:jc w:val="both"/>
            </w:pPr>
            <w:r w:rsidRPr="002C5454">
              <w:t>1. Intra-satellite handover with the same feeder link. i.e., with same gateway/gNB</w:t>
            </w:r>
          </w:p>
          <w:p w14:paraId="5F2FD393" w14:textId="77777777" w:rsidR="00882293" w:rsidRPr="002C5454" w:rsidRDefault="00882293" w:rsidP="00882293">
            <w:pPr>
              <w:snapToGrid w:val="0"/>
              <w:spacing w:after="100"/>
              <w:jc w:val="both"/>
            </w:pPr>
            <w:r w:rsidRPr="002C5454">
              <w:t>2. Intra-satellite handover with different feeder links, i.e., with gateway/gNB switch</w:t>
            </w:r>
          </w:p>
          <w:p w14:paraId="48D497C0" w14:textId="77777777" w:rsidR="00882293" w:rsidRPr="002C5454" w:rsidRDefault="00882293" w:rsidP="00882293">
            <w:pPr>
              <w:snapToGrid w:val="0"/>
              <w:spacing w:after="100"/>
              <w:jc w:val="both"/>
            </w:pPr>
            <w:r w:rsidRPr="002C5454">
              <w:t>3. Inter-satellite handover with gateway/gNB switch</w:t>
            </w:r>
          </w:p>
          <w:p w14:paraId="683BA8F3" w14:textId="1ECE896D" w:rsidR="00882293" w:rsidRDefault="00882293" w:rsidP="00882293">
            <w:pPr>
              <w:spacing w:before="120"/>
              <w:jc w:val="both"/>
              <w:rPr>
                <w:lang w:val="en-US" w:eastAsia="ko-KR"/>
              </w:rPr>
            </w:pPr>
            <w:r w:rsidRPr="002C5454">
              <w:t>4. Inter-satellite handover with same gateway/gNB</w:t>
            </w:r>
          </w:p>
        </w:tc>
      </w:tr>
    </w:tbl>
    <w:p w14:paraId="0E47D1E8" w14:textId="19C2E0E5" w:rsidR="00882293" w:rsidRDefault="00882293" w:rsidP="00882293">
      <w:pPr>
        <w:spacing w:before="120"/>
        <w:ind w:firstLineChars="100" w:firstLine="200"/>
        <w:jc w:val="both"/>
        <w:rPr>
          <w:b/>
          <w:lang w:val="en-US" w:eastAsia="ko-KR"/>
        </w:rPr>
      </w:pPr>
      <w:r>
        <w:rPr>
          <w:lang w:val="en-US" w:eastAsia="ko-KR"/>
        </w:rPr>
        <w:t>According to reply LS from RAN1, RACH-less HO may be impossible except for scenario 1. In scenarios 2, 3, and 4, source and target cells have different feeder links. It means that source and target cells may have different propagation delays between reference point and gNB, i.e., N</w:t>
      </w:r>
      <w:r w:rsidRPr="00882293">
        <w:rPr>
          <w:vertAlign w:val="subscript"/>
          <w:lang w:val="en-US" w:eastAsia="ko-KR"/>
        </w:rPr>
        <w:t>TA</w:t>
      </w:r>
      <w:r>
        <w:rPr>
          <w:lang w:val="en-US" w:eastAsia="ko-KR"/>
        </w:rPr>
        <w:t>. In this case, UE cannot conduct RACH-less HO due to unawareness of the total TA of target cell.</w:t>
      </w:r>
    </w:p>
    <w:p w14:paraId="48160F16" w14:textId="02B0F324" w:rsidR="00882293" w:rsidRDefault="00882293" w:rsidP="00F97702">
      <w:pPr>
        <w:ind w:left="1374" w:hangingChars="700" w:hanging="1374"/>
        <w:jc w:val="both"/>
        <w:rPr>
          <w:b/>
          <w:lang w:val="en-US" w:eastAsia="ko-KR"/>
        </w:rPr>
      </w:pPr>
      <w:r>
        <w:rPr>
          <w:b/>
          <w:lang w:val="en-US" w:eastAsia="ko-KR"/>
        </w:rPr>
        <w:t xml:space="preserve">Observation </w:t>
      </w:r>
      <w:r w:rsidR="00627D12">
        <w:rPr>
          <w:b/>
          <w:lang w:val="en-US" w:eastAsia="ko-KR"/>
        </w:rPr>
        <w:t>6</w:t>
      </w:r>
      <w:r>
        <w:rPr>
          <w:b/>
          <w:lang w:val="en-US" w:eastAsia="ko-KR"/>
        </w:rPr>
        <w:tab/>
        <w:t>In case of feeder link switch, propagation delay between gNB connected to target cell and reference point may be different from that of serving cell, in which UE cannot obtain target cell TA.</w:t>
      </w:r>
    </w:p>
    <w:p w14:paraId="084BB0D6" w14:textId="27E880AE" w:rsidR="00F97702" w:rsidRPr="00F97702" w:rsidRDefault="00F97702" w:rsidP="00F97702">
      <w:pPr>
        <w:spacing w:before="120"/>
        <w:ind w:firstLineChars="100" w:firstLine="200"/>
        <w:jc w:val="both"/>
        <w:rPr>
          <w:lang w:val="en-US" w:eastAsia="ko-KR"/>
        </w:rPr>
      </w:pPr>
      <w:r>
        <w:rPr>
          <w:lang w:val="en-US" w:eastAsia="ko-KR"/>
        </w:rPr>
        <w:t>To support RACH-less HO, network provide</w:t>
      </w:r>
      <w:r w:rsidR="00627D12">
        <w:rPr>
          <w:lang w:val="en-US" w:eastAsia="ko-KR"/>
        </w:rPr>
        <w:t>s</w:t>
      </w:r>
      <w:r>
        <w:rPr>
          <w:lang w:val="en-US" w:eastAsia="ko-KR"/>
        </w:rPr>
        <w:t xml:space="preserve"> N</w:t>
      </w:r>
      <w:r w:rsidRPr="00F97702">
        <w:rPr>
          <w:vertAlign w:val="subscript"/>
          <w:lang w:val="en-US" w:eastAsia="ko-KR"/>
        </w:rPr>
        <w:t>TA</w:t>
      </w:r>
      <w:r>
        <w:rPr>
          <w:lang w:val="en-US" w:eastAsia="ko-KR"/>
        </w:rPr>
        <w:t xml:space="preserve"> of target cell in HO command. As the one reference point is configured in one satellite, N</w:t>
      </w:r>
      <w:r w:rsidRPr="00F97702">
        <w:rPr>
          <w:vertAlign w:val="subscript"/>
          <w:lang w:val="en-US" w:eastAsia="ko-KR"/>
        </w:rPr>
        <w:t>TA</w:t>
      </w:r>
      <w:r>
        <w:rPr>
          <w:lang w:val="en-US" w:eastAsia="ko-KR"/>
        </w:rPr>
        <w:t xml:space="preserve"> value is not UE-specific but satellite-specific</w:t>
      </w:r>
      <w:r w:rsidR="00627D12">
        <w:rPr>
          <w:lang w:val="en-US" w:eastAsia="ko-KR"/>
        </w:rPr>
        <w:t>, in which N</w:t>
      </w:r>
      <w:r w:rsidR="00627D12" w:rsidRPr="00627D12">
        <w:rPr>
          <w:vertAlign w:val="subscript"/>
          <w:lang w:val="en-US" w:eastAsia="ko-KR"/>
        </w:rPr>
        <w:t>TA</w:t>
      </w:r>
      <w:r w:rsidR="00627D12">
        <w:rPr>
          <w:lang w:val="en-US" w:eastAsia="ko-KR"/>
        </w:rPr>
        <w:t xml:space="preserve"> would be contained to satellite assistance information, i.e., </w:t>
      </w:r>
      <w:r w:rsidR="00627D12">
        <w:rPr>
          <w:i/>
          <w:lang w:val="en-US" w:eastAsia="ko-KR"/>
        </w:rPr>
        <w:t>NTN-Config</w:t>
      </w:r>
      <w:r w:rsidR="00627D12" w:rsidRPr="00627D12">
        <w:rPr>
          <w:lang w:val="en-US" w:eastAsia="ko-KR"/>
        </w:rPr>
        <w:t>.</w:t>
      </w:r>
      <w:r w:rsidR="00627D12">
        <w:rPr>
          <w:lang w:val="en-US" w:eastAsia="ko-KR"/>
        </w:rPr>
        <w:t xml:space="preserve"> </w:t>
      </w:r>
      <w:r>
        <w:rPr>
          <w:lang w:val="en-US" w:eastAsia="ko-KR"/>
        </w:rPr>
        <w:t>In case of time-based CHO, network provides N</w:t>
      </w:r>
      <w:r w:rsidRPr="00627D12">
        <w:rPr>
          <w:vertAlign w:val="subscript"/>
          <w:lang w:val="en-US" w:eastAsia="ko-KR"/>
        </w:rPr>
        <w:t>TA</w:t>
      </w:r>
      <w:r>
        <w:rPr>
          <w:lang w:val="en-US" w:eastAsia="ko-KR"/>
        </w:rPr>
        <w:t xml:space="preserve"> at </w:t>
      </w:r>
      <w:r w:rsidR="00627D12">
        <w:rPr>
          <w:lang w:val="en-US" w:eastAsia="ko-KR"/>
        </w:rPr>
        <w:t xml:space="preserve">configured </w:t>
      </w:r>
      <w:r w:rsidR="00C81060">
        <w:rPr>
          <w:lang w:val="en-US" w:eastAsia="ko-KR"/>
        </w:rPr>
        <w:t>time of C</w:t>
      </w:r>
      <w:r>
        <w:rPr>
          <w:lang w:val="en-US" w:eastAsia="ko-KR"/>
        </w:rPr>
        <w:t xml:space="preserve">HO execution, i.e., </w:t>
      </w:r>
      <w:r>
        <w:rPr>
          <w:i/>
          <w:lang w:val="en-US" w:eastAsia="ko-KR"/>
        </w:rPr>
        <w:t>Mt</w:t>
      </w:r>
      <w:r>
        <w:rPr>
          <w:lang w:val="en-US" w:eastAsia="ko-KR"/>
        </w:rPr>
        <w:t>.</w:t>
      </w:r>
    </w:p>
    <w:p w14:paraId="16CD7D8E" w14:textId="2F63A7B3" w:rsidR="00F97702" w:rsidRDefault="00882293" w:rsidP="00F97702">
      <w:pPr>
        <w:ind w:left="1374" w:hangingChars="700" w:hanging="1374"/>
        <w:jc w:val="both"/>
        <w:rPr>
          <w:b/>
          <w:lang w:val="en-US" w:eastAsia="ko-KR"/>
        </w:rPr>
      </w:pPr>
      <w:r>
        <w:rPr>
          <w:b/>
          <w:lang w:val="en-US" w:eastAsia="ko-KR"/>
        </w:rPr>
        <w:t xml:space="preserve">Proposal </w:t>
      </w:r>
      <w:r w:rsidR="00627D12">
        <w:rPr>
          <w:b/>
          <w:lang w:val="en-US" w:eastAsia="ko-KR"/>
        </w:rPr>
        <w:t>5</w:t>
      </w:r>
      <w:r>
        <w:rPr>
          <w:b/>
          <w:lang w:val="en-US" w:eastAsia="ko-KR"/>
        </w:rPr>
        <w:tab/>
      </w:r>
      <w:r w:rsidRPr="00672215">
        <w:rPr>
          <w:b/>
          <w:lang w:val="en-US" w:eastAsia="ko-KR"/>
        </w:rPr>
        <w:t xml:space="preserve">To support RACH-less HO, network can indicate, in </w:t>
      </w:r>
      <w:r>
        <w:rPr>
          <w:b/>
          <w:lang w:val="en-US" w:eastAsia="ko-KR"/>
        </w:rPr>
        <w:t>HO</w:t>
      </w:r>
      <w:r w:rsidRPr="00672215">
        <w:rPr>
          <w:b/>
          <w:lang w:val="en-US" w:eastAsia="ko-KR"/>
        </w:rPr>
        <w:t xml:space="preserve"> command, </w:t>
      </w:r>
      <w:r w:rsidR="00F97702">
        <w:rPr>
          <w:b/>
          <w:lang w:val="en-US" w:eastAsia="ko-KR"/>
        </w:rPr>
        <w:t>timing information</w:t>
      </w:r>
      <w:r w:rsidRPr="00672215">
        <w:rPr>
          <w:b/>
          <w:lang w:val="en-US" w:eastAsia="ko-KR"/>
        </w:rPr>
        <w:t xml:space="preserve"> used by UE to compute </w:t>
      </w:r>
      <w:r w:rsidR="00AA2D8B">
        <w:rPr>
          <w:b/>
          <w:lang w:val="en-US" w:eastAsia="ko-KR"/>
        </w:rPr>
        <w:t xml:space="preserve">the total </w:t>
      </w:r>
      <w:r w:rsidRPr="00672215">
        <w:rPr>
          <w:b/>
          <w:lang w:val="en-US" w:eastAsia="ko-KR"/>
        </w:rPr>
        <w:t>TA for a target cell (e.g., propagation delay between gNB connected to target cell and reference point)</w:t>
      </w:r>
      <w:r>
        <w:rPr>
          <w:b/>
          <w:lang w:val="en-US" w:eastAsia="ko-KR"/>
        </w:rPr>
        <w:t>.</w:t>
      </w:r>
    </w:p>
    <w:p w14:paraId="0511EC6F" w14:textId="39D451E9" w:rsidR="00882293" w:rsidRDefault="00882293" w:rsidP="00882293">
      <w:pPr>
        <w:ind w:left="1374" w:hangingChars="700" w:hanging="1374"/>
        <w:jc w:val="both"/>
        <w:rPr>
          <w:b/>
          <w:lang w:val="en-US" w:eastAsia="ko-KR"/>
        </w:rPr>
      </w:pPr>
      <w:r>
        <w:rPr>
          <w:b/>
          <w:lang w:val="en-US" w:eastAsia="ko-KR"/>
        </w:rPr>
        <w:t xml:space="preserve">Proposal </w:t>
      </w:r>
      <w:r w:rsidR="00627D12">
        <w:rPr>
          <w:b/>
          <w:lang w:val="en-US" w:eastAsia="ko-KR"/>
        </w:rPr>
        <w:t>6</w:t>
      </w:r>
      <w:r>
        <w:rPr>
          <w:b/>
          <w:lang w:val="en-US" w:eastAsia="ko-KR"/>
        </w:rPr>
        <w:tab/>
      </w:r>
      <w:r w:rsidRPr="00672215">
        <w:rPr>
          <w:b/>
          <w:lang w:val="en-US" w:eastAsia="ko-KR"/>
        </w:rPr>
        <w:t>To support RACH-less CHO, network can i</w:t>
      </w:r>
      <w:r w:rsidR="00F97702">
        <w:rPr>
          <w:b/>
          <w:lang w:val="en-US" w:eastAsia="ko-KR"/>
        </w:rPr>
        <w:t>ndicate, in CHO configuration, timing information</w:t>
      </w:r>
      <w:r w:rsidRPr="00672215">
        <w:rPr>
          <w:b/>
          <w:lang w:val="en-US" w:eastAsia="ko-KR"/>
        </w:rPr>
        <w:t xml:space="preserve"> used by UE to compute </w:t>
      </w:r>
      <w:r w:rsidR="00AA2D8B">
        <w:rPr>
          <w:b/>
          <w:lang w:val="en-US" w:eastAsia="ko-KR"/>
        </w:rPr>
        <w:t xml:space="preserve">the total </w:t>
      </w:r>
      <w:r w:rsidRPr="00672215">
        <w:rPr>
          <w:b/>
          <w:lang w:val="en-US" w:eastAsia="ko-KR"/>
        </w:rPr>
        <w:t>TA for a target applicab</w:t>
      </w:r>
      <w:r>
        <w:rPr>
          <w:b/>
          <w:lang w:val="en-US" w:eastAsia="ko-KR"/>
        </w:rPr>
        <w:t>le at the time of CHO execution</w:t>
      </w:r>
      <w:r w:rsidR="00F97702">
        <w:rPr>
          <w:b/>
          <w:lang w:val="en-US" w:eastAsia="ko-KR"/>
        </w:rPr>
        <w:t xml:space="preserve">, i.e., </w:t>
      </w:r>
      <w:r w:rsidR="00F97702">
        <w:rPr>
          <w:b/>
          <w:i/>
          <w:lang w:val="en-US" w:eastAsia="ko-KR"/>
        </w:rPr>
        <w:t>Mt</w:t>
      </w:r>
      <w:r w:rsidRPr="00672215">
        <w:rPr>
          <w:b/>
          <w:lang w:val="en-US" w:eastAsia="ko-KR"/>
        </w:rPr>
        <w:t>.</w:t>
      </w:r>
    </w:p>
    <w:p w14:paraId="1BA81254" w14:textId="5FDBA182" w:rsidR="00882293" w:rsidRDefault="00627D12" w:rsidP="00627D12">
      <w:pPr>
        <w:pStyle w:val="3"/>
        <w:rPr>
          <w:b/>
          <w:lang w:val="en-US" w:eastAsia="ko-KR"/>
        </w:rPr>
      </w:pPr>
      <w:r>
        <w:rPr>
          <w:rFonts w:hint="eastAsia"/>
          <w:lang w:val="en-US" w:eastAsia="ko-KR"/>
        </w:rPr>
        <w:lastRenderedPageBreak/>
        <w:t>2.</w:t>
      </w:r>
      <w:r>
        <w:rPr>
          <w:lang w:val="en-US" w:eastAsia="ko-KR"/>
        </w:rPr>
        <w:t>3</w:t>
      </w:r>
      <w:r w:rsidR="0040691D">
        <w:rPr>
          <w:rFonts w:hint="eastAsia"/>
          <w:lang w:val="en-US" w:eastAsia="ko-KR"/>
        </w:rPr>
        <w:t xml:space="preserve"> Possible scenario and real benefit of reusing PCI after satellite switch</w:t>
      </w:r>
    </w:p>
    <w:p w14:paraId="316611BA" w14:textId="17AF791C" w:rsidR="003C79F3" w:rsidRPr="003C79F3" w:rsidRDefault="003C79F3" w:rsidP="00627D12">
      <w:pPr>
        <w:ind w:firstLineChars="100" w:firstLine="200"/>
        <w:jc w:val="both"/>
        <w:rPr>
          <w:lang w:val="en-US" w:eastAsia="ko-KR"/>
        </w:rPr>
      </w:pPr>
      <w:r>
        <w:rPr>
          <w:lang w:val="en-US" w:eastAsia="ko-KR"/>
        </w:rPr>
        <w:t xml:space="preserve">For soft satellite switching scenario, serving cell shall simultaneously broadcast SSBs for source satellite and target satellite. UE shall acquire target satellite’s SSB to conduct UL synchronization. However, two different SSBs </w:t>
      </w:r>
      <w:r w:rsidR="00BD0BDA">
        <w:rPr>
          <w:lang w:val="en-US" w:eastAsia="ko-KR"/>
        </w:rPr>
        <w:t xml:space="preserve">cannot be </w:t>
      </w:r>
      <w:r>
        <w:rPr>
          <w:lang w:val="en-US" w:eastAsia="ko-KR"/>
        </w:rPr>
        <w:t>broadcast at the same timing according to current spec</w:t>
      </w:r>
      <w:r w:rsidR="00B937C5">
        <w:rPr>
          <w:lang w:val="en-US" w:eastAsia="ko-KR"/>
        </w:rPr>
        <w:t>ification</w:t>
      </w:r>
      <w:r>
        <w:rPr>
          <w:lang w:val="en-US" w:eastAsia="ko-KR"/>
        </w:rPr>
        <w:t xml:space="preserve">. </w:t>
      </w:r>
      <w:r w:rsidR="00895AB2">
        <w:rPr>
          <w:lang w:val="en-US" w:eastAsia="ko-KR"/>
        </w:rPr>
        <w:t>To enabling the solution, RAN1 should conduct beam management enhancement</w:t>
      </w:r>
      <w:r w:rsidR="00484EF0">
        <w:rPr>
          <w:lang w:val="en-US" w:eastAsia="ko-KR"/>
        </w:rPr>
        <w:t xml:space="preserve"> such as multiple SSB transmission timing configuration for serving cell.</w:t>
      </w:r>
    </w:p>
    <w:p w14:paraId="6830EB22" w14:textId="57A25E1F" w:rsidR="00F6436F" w:rsidRDefault="00134DCC" w:rsidP="007B27B0">
      <w:pPr>
        <w:ind w:firstLineChars="100" w:firstLine="200"/>
        <w:jc w:val="both"/>
        <w:rPr>
          <w:lang w:val="en-US" w:eastAsia="ko-KR"/>
        </w:rPr>
      </w:pPr>
      <w:r>
        <w:rPr>
          <w:rFonts w:hint="eastAsia"/>
          <w:lang w:val="en-US" w:eastAsia="ko-KR"/>
        </w:rPr>
        <w:t xml:space="preserve">On the other hand, </w:t>
      </w:r>
      <w:r w:rsidR="00BD0BDA">
        <w:rPr>
          <w:lang w:val="en-US" w:eastAsia="ko-KR"/>
        </w:rPr>
        <w:t xml:space="preserve">for hard satellite switching scenario, there is no beam management </w:t>
      </w:r>
      <w:r w:rsidR="00987452">
        <w:rPr>
          <w:lang w:val="en-US" w:eastAsia="ko-KR"/>
        </w:rPr>
        <w:t xml:space="preserve">enhancement </w:t>
      </w:r>
      <w:r w:rsidR="00BD0BDA">
        <w:rPr>
          <w:lang w:val="en-US" w:eastAsia="ko-KR"/>
        </w:rPr>
        <w:t xml:space="preserve">issue. </w:t>
      </w:r>
      <w:r w:rsidR="00987452">
        <w:rPr>
          <w:lang w:val="en-US" w:eastAsia="ko-KR"/>
        </w:rPr>
        <w:t xml:space="preserve">However, </w:t>
      </w:r>
      <w:r w:rsidR="00B937C5">
        <w:rPr>
          <w:lang w:val="en-US" w:eastAsia="ko-KR"/>
        </w:rPr>
        <w:t>the solution has marginal benefit, i.e., reducing PCI signaling</w:t>
      </w:r>
      <w:bookmarkStart w:id="0" w:name="_GoBack"/>
      <w:bookmarkEnd w:id="0"/>
      <w:r w:rsidR="00B937C5">
        <w:rPr>
          <w:lang w:val="en-US" w:eastAsia="ko-KR"/>
        </w:rPr>
        <w:t xml:space="preserve"> of target satellite. </w:t>
      </w:r>
      <w:r w:rsidR="00B937C5" w:rsidRPr="00B937C5">
        <w:rPr>
          <w:lang w:val="en-US" w:eastAsia="ko-KR"/>
        </w:rPr>
        <w:t>With delta configuration, source cell can transmit HO command containing only PCI of target cell.</w:t>
      </w:r>
      <w:r w:rsidR="00B937C5">
        <w:rPr>
          <w:lang w:val="en-US" w:eastAsia="ko-KR"/>
        </w:rPr>
        <w:t xml:space="preserve"> Furthermore, the solution only can be applied to limited scenario, i.e., quasi-earth fixed inter-satellite scenario with the same gNB. Regarding limitation of NTN WI TU, the solution should be deprioritized in NTN WI.</w:t>
      </w:r>
    </w:p>
    <w:p w14:paraId="43D36836" w14:textId="23E775E9" w:rsidR="00072503" w:rsidRDefault="00072503" w:rsidP="00072503">
      <w:pPr>
        <w:ind w:left="1374" w:hangingChars="700" w:hanging="1374"/>
        <w:jc w:val="both"/>
        <w:rPr>
          <w:b/>
          <w:lang w:val="en-US" w:eastAsia="ko-KR"/>
        </w:rPr>
      </w:pPr>
      <w:r>
        <w:rPr>
          <w:b/>
          <w:lang w:val="en-US" w:eastAsia="ko-KR"/>
        </w:rPr>
        <w:t xml:space="preserve">Observation </w:t>
      </w:r>
      <w:r w:rsidR="00B072E6">
        <w:rPr>
          <w:b/>
          <w:lang w:val="en-US" w:eastAsia="ko-KR"/>
        </w:rPr>
        <w:t>7</w:t>
      </w:r>
      <w:r>
        <w:rPr>
          <w:b/>
          <w:lang w:val="en-US" w:eastAsia="ko-KR"/>
        </w:rPr>
        <w:tab/>
        <w:t>At least for hard service link switch, reusing PCI after satellite switch can be possible.</w:t>
      </w:r>
    </w:p>
    <w:p w14:paraId="2051C419" w14:textId="6D1B3555" w:rsidR="00072503" w:rsidRPr="00915897" w:rsidRDefault="00072503" w:rsidP="00072503">
      <w:pPr>
        <w:ind w:left="1374" w:hangingChars="700" w:hanging="1374"/>
        <w:jc w:val="both"/>
        <w:rPr>
          <w:rFonts w:eastAsia="맑은 고딕"/>
          <w:b/>
          <w:lang w:val="en-US" w:eastAsia="ko-KR"/>
        </w:rPr>
      </w:pPr>
      <w:r>
        <w:rPr>
          <w:b/>
          <w:lang w:val="en-US" w:eastAsia="ko-KR"/>
        </w:rPr>
        <w:t xml:space="preserve">Observation </w:t>
      </w:r>
      <w:r w:rsidR="00B072E6">
        <w:rPr>
          <w:b/>
          <w:lang w:val="en-US" w:eastAsia="ko-KR"/>
        </w:rPr>
        <w:t>8</w:t>
      </w:r>
      <w:r>
        <w:rPr>
          <w:b/>
          <w:lang w:val="en-US" w:eastAsia="ko-KR"/>
        </w:rPr>
        <w:tab/>
        <w:t>Cannot find any benefit of reusing PCI after satellite switch.</w:t>
      </w:r>
    </w:p>
    <w:p w14:paraId="7BDCBCCF" w14:textId="77777777" w:rsidR="00072503" w:rsidRPr="008120AF" w:rsidRDefault="00072503" w:rsidP="00072503">
      <w:pPr>
        <w:ind w:left="1374" w:hangingChars="700" w:hanging="1374"/>
        <w:jc w:val="both"/>
        <w:rPr>
          <w:lang w:val="en-US" w:eastAsia="ko-KR"/>
        </w:rPr>
      </w:pPr>
      <w:r>
        <w:rPr>
          <w:b/>
          <w:lang w:val="en-US" w:eastAsia="ko-KR"/>
        </w:rPr>
        <w:t>Proposal 7</w:t>
      </w:r>
      <w:r>
        <w:rPr>
          <w:b/>
          <w:lang w:val="en-US" w:eastAsia="ko-KR"/>
        </w:rPr>
        <w:tab/>
        <w:t>De-prioritize reusing PCI after satellite switch.</w:t>
      </w:r>
    </w:p>
    <w:p w14:paraId="6F10A5CD" w14:textId="77777777" w:rsidR="00072503" w:rsidRPr="00072503" w:rsidRDefault="00072503" w:rsidP="007B27B0">
      <w:pPr>
        <w:ind w:left="1400" w:hangingChars="700" w:hanging="1400"/>
        <w:jc w:val="both"/>
        <w:rPr>
          <w:lang w:val="en-US" w:eastAsia="ko-KR"/>
        </w:rPr>
      </w:pP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63E04DDD" w14:textId="77777777" w:rsidR="00B072E6" w:rsidRPr="00915897" w:rsidRDefault="00B072E6" w:rsidP="00A07746">
      <w:pPr>
        <w:spacing w:before="120" w:after="120"/>
        <w:ind w:left="1400" w:hangingChars="700" w:hanging="1400"/>
        <w:jc w:val="both"/>
        <w:rPr>
          <w:rFonts w:eastAsia="맑은 고딕"/>
          <w:b/>
          <w:lang w:val="en-US" w:eastAsia="ko-KR"/>
        </w:rPr>
      </w:pPr>
      <w:r w:rsidRPr="00915897">
        <w:rPr>
          <w:rFonts w:eastAsia="맑은 고딕" w:hint="eastAsia"/>
          <w:b/>
          <w:lang w:val="en-US" w:eastAsia="ko-KR"/>
        </w:rPr>
        <w:t>Observation</w:t>
      </w:r>
      <w:r>
        <w:rPr>
          <w:rFonts w:eastAsia="맑은 고딕"/>
          <w:b/>
          <w:lang w:val="en-US" w:eastAsia="ko-KR"/>
        </w:rPr>
        <w:t xml:space="preserve"> 1</w:t>
      </w:r>
      <w:r w:rsidRPr="00915897">
        <w:rPr>
          <w:rFonts w:eastAsia="맑은 고딕"/>
          <w:b/>
          <w:lang w:val="en-US" w:eastAsia="ko-KR"/>
        </w:rPr>
        <w:tab/>
        <w:t xml:space="preserve">Distributing </w:t>
      </w:r>
      <w:r>
        <w:rPr>
          <w:rFonts w:eastAsia="맑은 고딕"/>
          <w:b/>
          <w:lang w:val="en-US" w:eastAsia="ko-KR"/>
        </w:rPr>
        <w:t>HO</w:t>
      </w:r>
      <w:r w:rsidRPr="00915897">
        <w:rPr>
          <w:rFonts w:eastAsia="맑은 고딕"/>
          <w:b/>
          <w:lang w:val="en-US" w:eastAsia="ko-KR"/>
        </w:rPr>
        <w:t xml:space="preserve"> timing of UEs is benefi</w:t>
      </w:r>
      <w:r>
        <w:rPr>
          <w:rFonts w:eastAsia="맑은 고딕"/>
          <w:b/>
          <w:lang w:val="en-US" w:eastAsia="ko-KR"/>
        </w:rPr>
        <w:t>c</w:t>
      </w:r>
      <w:r w:rsidRPr="00915897">
        <w:rPr>
          <w:rFonts w:eastAsia="맑은 고딕"/>
          <w:b/>
          <w:lang w:val="en-US" w:eastAsia="ko-KR"/>
        </w:rPr>
        <w:t>ial to mitigating concentration of HO command and RACH congestion.</w:t>
      </w:r>
    </w:p>
    <w:p w14:paraId="2F17F59F" w14:textId="77777777" w:rsidR="00B072E6" w:rsidRPr="00A306E4" w:rsidRDefault="00B072E6" w:rsidP="00A07746">
      <w:pPr>
        <w:spacing w:before="120" w:after="120"/>
        <w:ind w:left="1400" w:hangingChars="700" w:hanging="1400"/>
        <w:jc w:val="both"/>
        <w:rPr>
          <w:b/>
          <w:lang w:val="en-US" w:eastAsia="ko-KR"/>
        </w:rPr>
      </w:pPr>
      <w:r w:rsidRPr="00072503">
        <w:rPr>
          <w:rFonts w:eastAsia="맑은 고딕" w:hint="eastAsia"/>
          <w:b/>
          <w:lang w:val="en-US" w:eastAsia="ko-KR"/>
        </w:rPr>
        <w:t>Proposal</w:t>
      </w:r>
      <w:r w:rsidRPr="00072503">
        <w:rPr>
          <w:rFonts w:eastAsia="맑은 고딕"/>
          <w:b/>
          <w:lang w:val="en-US" w:eastAsia="ko-KR"/>
        </w:rPr>
        <w:t xml:space="preserve"> 1</w:t>
      </w:r>
      <w:r w:rsidRPr="00072503">
        <w:rPr>
          <w:rFonts w:eastAsia="맑은 고딕"/>
          <w:b/>
          <w:lang w:val="en-US" w:eastAsia="ko-KR"/>
        </w:rPr>
        <w:tab/>
      </w:r>
      <w:r w:rsidRPr="00072503">
        <w:rPr>
          <w:rFonts w:eastAsia="맑은 고딕" w:hint="eastAsia"/>
          <w:b/>
          <w:lang w:val="en-US" w:eastAsia="ko-KR"/>
        </w:rPr>
        <w:t xml:space="preserve">CHO configuration is a baseline for </w:t>
      </w:r>
      <w:r w:rsidRPr="00072503">
        <w:rPr>
          <w:rFonts w:eastAsia="맑은 고딕"/>
          <w:b/>
          <w:lang w:val="en-US" w:eastAsia="ko-KR"/>
        </w:rPr>
        <w:t>providing</w:t>
      </w:r>
      <w:r w:rsidRPr="00072503">
        <w:rPr>
          <w:rFonts w:eastAsia="맑은 고딕" w:hint="eastAsia"/>
          <w:b/>
          <w:lang w:val="en-US" w:eastAsia="ko-KR"/>
        </w:rPr>
        <w:t xml:space="preserve"> UE-specific pre-configuration of target cell</w:t>
      </w:r>
      <w:r w:rsidRPr="00072503">
        <w:rPr>
          <w:rFonts w:eastAsia="맑은 고딕"/>
          <w:b/>
          <w:lang w:val="en-US" w:eastAsia="ko-KR"/>
        </w:rPr>
        <w:t>.</w:t>
      </w:r>
    </w:p>
    <w:p w14:paraId="4536A28A" w14:textId="77777777" w:rsidR="00B072E6" w:rsidRDefault="00B072E6" w:rsidP="00A07746">
      <w:pPr>
        <w:spacing w:before="120" w:after="120"/>
        <w:ind w:left="1400" w:hangingChars="700" w:hanging="1400"/>
        <w:jc w:val="both"/>
        <w:rPr>
          <w:rFonts w:eastAsia="맑은 고딕"/>
          <w:b/>
          <w:lang w:val="en-US" w:eastAsia="ko-KR"/>
        </w:rPr>
      </w:pPr>
      <w:r w:rsidRPr="00D11594">
        <w:rPr>
          <w:rFonts w:eastAsia="맑은 고딕"/>
          <w:b/>
          <w:lang w:val="en-US" w:eastAsia="ko-KR"/>
        </w:rPr>
        <w:t>Proposal 2</w:t>
      </w:r>
      <w:r w:rsidRPr="00D11594">
        <w:rPr>
          <w:rFonts w:eastAsia="맑은 고딕"/>
          <w:b/>
          <w:lang w:val="en-US" w:eastAsia="ko-KR"/>
        </w:rPr>
        <w:tab/>
        <w:t xml:space="preserve">RAN2 confirms that appropriate configuration of </w:t>
      </w:r>
      <w:r>
        <w:rPr>
          <w:rFonts w:eastAsia="맑은 고딕"/>
          <w:b/>
          <w:lang w:val="en-US" w:eastAsia="ko-KR"/>
        </w:rPr>
        <w:t>C</w:t>
      </w:r>
      <w:r w:rsidRPr="00D11594">
        <w:rPr>
          <w:rFonts w:eastAsia="맑은 고딕"/>
          <w:b/>
          <w:lang w:val="en-US" w:eastAsia="ko-KR"/>
        </w:rPr>
        <w:t xml:space="preserve">ondEvent T1 and RRM-based conditional event can be used to distribute the HO </w:t>
      </w:r>
      <w:r>
        <w:rPr>
          <w:rFonts w:eastAsia="맑은 고딕"/>
          <w:b/>
          <w:lang w:val="en-US" w:eastAsia="ko-KR"/>
        </w:rPr>
        <w:t>timing</w:t>
      </w:r>
      <w:r w:rsidRPr="00D11594">
        <w:rPr>
          <w:rFonts w:eastAsia="맑은 고딕"/>
          <w:b/>
          <w:lang w:val="en-US" w:eastAsia="ko-KR"/>
        </w:rPr>
        <w:t>.</w:t>
      </w:r>
    </w:p>
    <w:p w14:paraId="5C065070" w14:textId="77777777" w:rsidR="00B072E6" w:rsidRDefault="00B072E6" w:rsidP="00A07746">
      <w:pPr>
        <w:spacing w:before="120" w:after="120"/>
        <w:ind w:left="1374" w:hangingChars="700" w:hanging="1374"/>
        <w:jc w:val="both"/>
        <w:rPr>
          <w:b/>
          <w:lang w:val="en-US" w:eastAsia="ko-KR"/>
        </w:rPr>
      </w:pPr>
      <w:r>
        <w:rPr>
          <w:b/>
          <w:lang w:val="en-US" w:eastAsia="ko-KR"/>
        </w:rPr>
        <w:t>Proposal 3</w:t>
      </w:r>
      <w:r>
        <w:rPr>
          <w:b/>
          <w:lang w:val="en-US" w:eastAsia="ko-KR"/>
        </w:rPr>
        <w:tab/>
      </w:r>
      <w:r w:rsidRPr="00672215">
        <w:rPr>
          <w:b/>
          <w:lang w:val="en-US" w:eastAsia="ko-KR"/>
        </w:rPr>
        <w:t>A new HO trig</w:t>
      </w:r>
      <w:r>
        <w:rPr>
          <w:b/>
          <w:lang w:val="en-US" w:eastAsia="ko-KR"/>
        </w:rPr>
        <w:t>gering indication is not needed.</w:t>
      </w:r>
    </w:p>
    <w:p w14:paraId="7948BD63" w14:textId="77777777" w:rsidR="00B072E6" w:rsidRDefault="00B072E6" w:rsidP="00A07746">
      <w:pPr>
        <w:spacing w:before="120" w:after="120"/>
        <w:ind w:left="1374" w:hangingChars="700" w:hanging="1374"/>
        <w:jc w:val="both"/>
        <w:rPr>
          <w:b/>
          <w:lang w:val="en-US" w:eastAsia="ko-KR"/>
        </w:rPr>
      </w:pPr>
      <w:r>
        <w:rPr>
          <w:b/>
          <w:lang w:val="en-US" w:eastAsia="ko-KR"/>
        </w:rPr>
        <w:t>Observation 2</w:t>
      </w:r>
      <w:r>
        <w:rPr>
          <w:b/>
          <w:lang w:val="en-US" w:eastAsia="ko-KR"/>
        </w:rPr>
        <w:tab/>
        <w:t>In case of hard service link switch, RACH-less HO may be beneficial to mitigate RACH congestion.</w:t>
      </w:r>
    </w:p>
    <w:p w14:paraId="769683F6" w14:textId="77777777" w:rsidR="00B072E6" w:rsidRDefault="00B072E6" w:rsidP="00A07746">
      <w:pPr>
        <w:spacing w:before="120" w:after="120"/>
        <w:ind w:left="1374" w:hangingChars="700" w:hanging="1374"/>
        <w:jc w:val="both"/>
        <w:rPr>
          <w:b/>
          <w:lang w:val="en-US" w:eastAsia="ko-KR"/>
        </w:rPr>
      </w:pPr>
      <w:r>
        <w:rPr>
          <w:b/>
          <w:lang w:val="en-US" w:eastAsia="ko-KR"/>
        </w:rPr>
        <w:t>Observation 3</w:t>
      </w:r>
      <w:r>
        <w:rPr>
          <w:b/>
          <w:lang w:val="en-US" w:eastAsia="ko-KR"/>
        </w:rPr>
        <w:tab/>
        <w:t>RACH-less HO discussed in feMob WI aims to minimize HO interruption time by acquiring TA of multiple candidate target cells in advance.</w:t>
      </w:r>
    </w:p>
    <w:p w14:paraId="07515E18" w14:textId="77777777" w:rsidR="00B072E6" w:rsidRDefault="00B072E6" w:rsidP="00A07746">
      <w:pPr>
        <w:spacing w:before="120" w:after="120"/>
        <w:ind w:left="1374" w:hangingChars="700" w:hanging="1374"/>
        <w:jc w:val="both"/>
        <w:rPr>
          <w:b/>
          <w:lang w:val="en-US" w:eastAsia="ko-KR"/>
        </w:rPr>
      </w:pPr>
      <w:r>
        <w:rPr>
          <w:rFonts w:hint="eastAsia"/>
          <w:b/>
          <w:lang w:val="en-US" w:eastAsia="ko-KR"/>
        </w:rPr>
        <w:t>Observation 4</w:t>
      </w:r>
      <w:r>
        <w:rPr>
          <w:rFonts w:hint="eastAsia"/>
          <w:b/>
          <w:lang w:val="en-US" w:eastAsia="ko-KR"/>
        </w:rPr>
        <w:tab/>
      </w:r>
      <w:r>
        <w:rPr>
          <w:b/>
          <w:lang w:val="en-US" w:eastAsia="ko-KR"/>
        </w:rPr>
        <w:t>Framework of RACH-less HO discussed in feMob is not suitable for NTN system, in which TA maintenance of multiple candidate target cells is not needed for NTN.</w:t>
      </w:r>
    </w:p>
    <w:p w14:paraId="57937D95" w14:textId="77777777" w:rsidR="00B072E6" w:rsidRDefault="00B072E6" w:rsidP="00A07746">
      <w:pPr>
        <w:spacing w:before="120" w:after="120"/>
        <w:ind w:left="1374" w:hangingChars="700" w:hanging="1374"/>
        <w:jc w:val="both"/>
        <w:rPr>
          <w:b/>
          <w:lang w:val="en-US" w:eastAsia="ko-KR"/>
        </w:rPr>
      </w:pPr>
      <w:r w:rsidRPr="00882293">
        <w:rPr>
          <w:b/>
          <w:lang w:val="en-US" w:eastAsia="ko-KR"/>
        </w:rPr>
        <w:t>Proposal</w:t>
      </w:r>
      <w:r>
        <w:rPr>
          <w:b/>
          <w:lang w:val="en-US" w:eastAsia="ko-KR"/>
        </w:rPr>
        <w:t xml:space="preserve"> 4</w:t>
      </w:r>
      <w:r w:rsidRPr="00882293">
        <w:rPr>
          <w:b/>
          <w:lang w:val="en-US" w:eastAsia="ko-KR"/>
        </w:rPr>
        <w:tab/>
      </w:r>
      <w:r>
        <w:rPr>
          <w:b/>
          <w:lang w:val="en-US" w:eastAsia="ko-KR"/>
        </w:rPr>
        <w:t>Minimize spec impact of NTN-specific RACH-less HO enhancement by utilizing TA pre-compensation capability</w:t>
      </w:r>
      <w:r w:rsidRPr="00882293">
        <w:rPr>
          <w:b/>
          <w:lang w:val="en-US" w:eastAsia="ko-KR"/>
        </w:rPr>
        <w:t>.</w:t>
      </w:r>
    </w:p>
    <w:p w14:paraId="5045A62D" w14:textId="77777777" w:rsidR="00B072E6" w:rsidRDefault="00B072E6" w:rsidP="00A07746">
      <w:pPr>
        <w:spacing w:before="120" w:after="120"/>
        <w:ind w:left="1374" w:hangingChars="700" w:hanging="1374"/>
        <w:jc w:val="both"/>
        <w:rPr>
          <w:b/>
          <w:lang w:val="en-US" w:eastAsia="ko-KR"/>
        </w:rPr>
      </w:pPr>
      <w:r>
        <w:rPr>
          <w:b/>
          <w:lang w:val="en-US" w:eastAsia="ko-KR"/>
        </w:rPr>
        <w:t>Observation 5</w:t>
      </w:r>
      <w:r>
        <w:rPr>
          <w:b/>
          <w:lang w:val="en-US" w:eastAsia="ko-KR"/>
        </w:rPr>
        <w:tab/>
        <w:t>Total TA of NTN UE shall be derived by summation of pre-compensated TA and propagation delay between reference point and gNB.</w:t>
      </w:r>
    </w:p>
    <w:p w14:paraId="1B04FF84" w14:textId="77777777" w:rsidR="00B072E6" w:rsidRDefault="00B072E6" w:rsidP="00A07746">
      <w:pPr>
        <w:spacing w:before="120" w:after="120"/>
        <w:ind w:left="1374" w:hangingChars="700" w:hanging="1374"/>
        <w:jc w:val="both"/>
        <w:rPr>
          <w:b/>
          <w:lang w:val="en-US" w:eastAsia="ko-KR"/>
        </w:rPr>
      </w:pPr>
      <w:r>
        <w:rPr>
          <w:b/>
          <w:lang w:val="en-US" w:eastAsia="ko-KR"/>
        </w:rPr>
        <w:t>Observation 6</w:t>
      </w:r>
      <w:r>
        <w:rPr>
          <w:b/>
          <w:lang w:val="en-US" w:eastAsia="ko-KR"/>
        </w:rPr>
        <w:tab/>
        <w:t>In case of feeder link switch, propagation delay between gNB connected to target cell and reference point may be different from that of serving cell, in which UE cannot obtain target cell TA.</w:t>
      </w:r>
    </w:p>
    <w:p w14:paraId="29CB2566" w14:textId="77777777" w:rsidR="00B072E6" w:rsidRDefault="00B072E6" w:rsidP="00A07746">
      <w:pPr>
        <w:spacing w:before="120" w:after="120"/>
        <w:ind w:left="1374" w:hangingChars="700" w:hanging="1374"/>
        <w:jc w:val="both"/>
        <w:rPr>
          <w:b/>
          <w:lang w:val="en-US" w:eastAsia="ko-KR"/>
        </w:rPr>
      </w:pPr>
      <w:r>
        <w:rPr>
          <w:b/>
          <w:lang w:val="en-US" w:eastAsia="ko-KR"/>
        </w:rPr>
        <w:t>Proposal 5</w:t>
      </w:r>
      <w:r>
        <w:rPr>
          <w:b/>
          <w:lang w:val="en-US" w:eastAsia="ko-KR"/>
        </w:rPr>
        <w:tab/>
      </w:r>
      <w:r w:rsidRPr="00672215">
        <w:rPr>
          <w:b/>
          <w:lang w:val="en-US" w:eastAsia="ko-KR"/>
        </w:rPr>
        <w:t xml:space="preserve">To support RACH-less HO, network can indicate, in </w:t>
      </w:r>
      <w:r>
        <w:rPr>
          <w:b/>
          <w:lang w:val="en-US" w:eastAsia="ko-KR"/>
        </w:rPr>
        <w:t>HO</w:t>
      </w:r>
      <w:r w:rsidRPr="00672215">
        <w:rPr>
          <w:b/>
          <w:lang w:val="en-US" w:eastAsia="ko-KR"/>
        </w:rPr>
        <w:t xml:space="preserve"> command, </w:t>
      </w:r>
      <w:r>
        <w:rPr>
          <w:b/>
          <w:lang w:val="en-US" w:eastAsia="ko-KR"/>
        </w:rPr>
        <w:t>timing information</w:t>
      </w:r>
      <w:r w:rsidRPr="00672215">
        <w:rPr>
          <w:b/>
          <w:lang w:val="en-US" w:eastAsia="ko-KR"/>
        </w:rPr>
        <w:t xml:space="preserve"> used by UE to compute </w:t>
      </w:r>
      <w:r>
        <w:rPr>
          <w:b/>
          <w:lang w:val="en-US" w:eastAsia="ko-KR"/>
        </w:rPr>
        <w:t xml:space="preserve">the total </w:t>
      </w:r>
      <w:r w:rsidRPr="00672215">
        <w:rPr>
          <w:b/>
          <w:lang w:val="en-US" w:eastAsia="ko-KR"/>
        </w:rPr>
        <w:t>TA for a target cell (e.g., propagation delay between gNB connected to target cell and reference point)</w:t>
      </w:r>
      <w:r>
        <w:rPr>
          <w:b/>
          <w:lang w:val="en-US" w:eastAsia="ko-KR"/>
        </w:rPr>
        <w:t>.</w:t>
      </w:r>
    </w:p>
    <w:p w14:paraId="7166879A" w14:textId="77777777" w:rsidR="00B072E6" w:rsidRDefault="00B072E6" w:rsidP="00A07746">
      <w:pPr>
        <w:spacing w:before="120" w:after="120"/>
        <w:ind w:left="1374" w:hangingChars="700" w:hanging="1374"/>
        <w:jc w:val="both"/>
        <w:rPr>
          <w:b/>
          <w:lang w:val="en-US" w:eastAsia="ko-KR"/>
        </w:rPr>
      </w:pPr>
      <w:r>
        <w:rPr>
          <w:b/>
          <w:lang w:val="en-US" w:eastAsia="ko-KR"/>
        </w:rPr>
        <w:t>Proposal 6</w:t>
      </w:r>
      <w:r>
        <w:rPr>
          <w:b/>
          <w:lang w:val="en-US" w:eastAsia="ko-KR"/>
        </w:rPr>
        <w:tab/>
      </w:r>
      <w:r w:rsidRPr="00672215">
        <w:rPr>
          <w:b/>
          <w:lang w:val="en-US" w:eastAsia="ko-KR"/>
        </w:rPr>
        <w:t>To support RACH-less CHO, network can i</w:t>
      </w:r>
      <w:r>
        <w:rPr>
          <w:b/>
          <w:lang w:val="en-US" w:eastAsia="ko-KR"/>
        </w:rPr>
        <w:t>ndicate, in CHO configuration, timing information</w:t>
      </w:r>
      <w:r w:rsidRPr="00672215">
        <w:rPr>
          <w:b/>
          <w:lang w:val="en-US" w:eastAsia="ko-KR"/>
        </w:rPr>
        <w:t xml:space="preserve"> used by UE to compute </w:t>
      </w:r>
      <w:r>
        <w:rPr>
          <w:b/>
          <w:lang w:val="en-US" w:eastAsia="ko-KR"/>
        </w:rPr>
        <w:t xml:space="preserve">the total </w:t>
      </w:r>
      <w:r w:rsidRPr="00672215">
        <w:rPr>
          <w:b/>
          <w:lang w:val="en-US" w:eastAsia="ko-KR"/>
        </w:rPr>
        <w:t>TA for a target applicab</w:t>
      </w:r>
      <w:r>
        <w:rPr>
          <w:b/>
          <w:lang w:val="en-US" w:eastAsia="ko-KR"/>
        </w:rPr>
        <w:t xml:space="preserve">le at the time of CHO execution, i.e., </w:t>
      </w:r>
      <w:r>
        <w:rPr>
          <w:b/>
          <w:i/>
          <w:lang w:val="en-US" w:eastAsia="ko-KR"/>
        </w:rPr>
        <w:t>Mt</w:t>
      </w:r>
      <w:r w:rsidRPr="00672215">
        <w:rPr>
          <w:b/>
          <w:lang w:val="en-US" w:eastAsia="ko-KR"/>
        </w:rPr>
        <w:t>.</w:t>
      </w:r>
    </w:p>
    <w:p w14:paraId="056D1F14" w14:textId="77777777" w:rsidR="00B072E6" w:rsidRDefault="00B072E6" w:rsidP="00A07746">
      <w:pPr>
        <w:spacing w:before="120" w:after="120"/>
        <w:ind w:left="1374" w:hangingChars="700" w:hanging="1374"/>
        <w:jc w:val="both"/>
        <w:rPr>
          <w:b/>
          <w:lang w:val="en-US" w:eastAsia="ko-KR"/>
        </w:rPr>
      </w:pPr>
      <w:r>
        <w:rPr>
          <w:b/>
          <w:lang w:val="en-US" w:eastAsia="ko-KR"/>
        </w:rPr>
        <w:t>Observation 7</w:t>
      </w:r>
      <w:r>
        <w:rPr>
          <w:b/>
          <w:lang w:val="en-US" w:eastAsia="ko-KR"/>
        </w:rPr>
        <w:tab/>
        <w:t>At least for hard service link switch, reusing PCI after satellite switch can be possible.</w:t>
      </w:r>
    </w:p>
    <w:p w14:paraId="464DE6C1" w14:textId="77777777" w:rsidR="00B072E6" w:rsidRPr="00915897" w:rsidRDefault="00B072E6" w:rsidP="00A07746">
      <w:pPr>
        <w:spacing w:before="120" w:after="120"/>
        <w:ind w:left="1374" w:hangingChars="700" w:hanging="1374"/>
        <w:jc w:val="both"/>
        <w:rPr>
          <w:rFonts w:eastAsia="맑은 고딕"/>
          <w:b/>
          <w:lang w:val="en-US" w:eastAsia="ko-KR"/>
        </w:rPr>
      </w:pPr>
      <w:r>
        <w:rPr>
          <w:b/>
          <w:lang w:val="en-US" w:eastAsia="ko-KR"/>
        </w:rPr>
        <w:t>Observation 8</w:t>
      </w:r>
      <w:r>
        <w:rPr>
          <w:b/>
          <w:lang w:val="en-US" w:eastAsia="ko-KR"/>
        </w:rPr>
        <w:tab/>
        <w:t>Cannot find any benefit of reusing PCI after satellite switch.</w:t>
      </w:r>
    </w:p>
    <w:p w14:paraId="1AACBF1D" w14:textId="359A6590" w:rsidR="009215D1" w:rsidRPr="008120AF" w:rsidRDefault="00B072E6" w:rsidP="00A07746">
      <w:pPr>
        <w:spacing w:before="120" w:after="120"/>
        <w:ind w:left="1374" w:hangingChars="700" w:hanging="1374"/>
        <w:jc w:val="both"/>
        <w:rPr>
          <w:lang w:val="en-US" w:eastAsia="ko-KR"/>
        </w:rPr>
      </w:pPr>
      <w:r>
        <w:rPr>
          <w:b/>
          <w:lang w:val="en-US" w:eastAsia="ko-KR"/>
        </w:rPr>
        <w:t>Proposal 7</w:t>
      </w:r>
      <w:r>
        <w:rPr>
          <w:b/>
          <w:lang w:val="en-US" w:eastAsia="ko-KR"/>
        </w:rPr>
        <w:tab/>
        <w:t>De-prioritize reusing PCI after satellite switch.</w:t>
      </w:r>
    </w:p>
    <w:p w14:paraId="2D74456B" w14:textId="4C9D28C7" w:rsidR="00B072E6" w:rsidRPr="00D070A7" w:rsidRDefault="00D75919" w:rsidP="00B072E6">
      <w:pPr>
        <w:pStyle w:val="1"/>
        <w:rPr>
          <w:lang w:eastAsia="ko-KR"/>
        </w:rPr>
      </w:pPr>
      <w:r>
        <w:rPr>
          <w:rFonts w:hint="eastAsia"/>
          <w:lang w:eastAsia="ko-KR"/>
        </w:rPr>
        <w:lastRenderedPageBreak/>
        <w:t>4. References</w:t>
      </w:r>
    </w:p>
    <w:p w14:paraId="7DA4A6FA" w14:textId="7F370AEB" w:rsidR="002D74B1" w:rsidRPr="00D070A7" w:rsidRDefault="002D74B1" w:rsidP="002467FC">
      <w:pPr>
        <w:rPr>
          <w:lang w:eastAsia="ko-KR"/>
        </w:rPr>
      </w:pPr>
    </w:p>
    <w:sectPr w:rsidR="002D74B1" w:rsidRPr="00D070A7"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3606A" w14:textId="77777777" w:rsidR="00D80FC9" w:rsidRDefault="00D80FC9">
      <w:pPr>
        <w:pStyle w:val="1"/>
      </w:pPr>
      <w:r>
        <w:separator/>
      </w:r>
    </w:p>
  </w:endnote>
  <w:endnote w:type="continuationSeparator" w:id="0">
    <w:p w14:paraId="2F813DB4" w14:textId="77777777" w:rsidR="00D80FC9" w:rsidRDefault="00D80FC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402B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BE096" w14:textId="77777777" w:rsidR="00D80FC9" w:rsidRDefault="00D80FC9">
      <w:pPr>
        <w:pStyle w:val="1"/>
      </w:pPr>
      <w:r>
        <w:separator/>
      </w:r>
    </w:p>
  </w:footnote>
  <w:footnote w:type="continuationSeparator" w:id="0">
    <w:p w14:paraId="727B783D" w14:textId="77777777" w:rsidR="00D80FC9" w:rsidRDefault="00D80FC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8">
    <w:nsid w:val="758D72F4"/>
    <w:multiLevelType w:val="hybridMultilevel"/>
    <w:tmpl w:val="7AB027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5"/>
  </w:num>
  <w:num w:numId="4">
    <w:abstractNumId w:val="33"/>
  </w:num>
  <w:num w:numId="5">
    <w:abstractNumId w:val="16"/>
  </w:num>
  <w:num w:numId="6">
    <w:abstractNumId w:val="29"/>
  </w:num>
  <w:num w:numId="7">
    <w:abstractNumId w:val="9"/>
  </w:num>
  <w:num w:numId="8">
    <w:abstractNumId w:val="22"/>
  </w:num>
  <w:num w:numId="9">
    <w:abstractNumId w:val="26"/>
  </w:num>
  <w:num w:numId="10">
    <w:abstractNumId w:val="14"/>
  </w:num>
  <w:num w:numId="11">
    <w:abstractNumId w:val="19"/>
  </w:num>
  <w:num w:numId="12">
    <w:abstractNumId w:val="7"/>
  </w:num>
  <w:num w:numId="13">
    <w:abstractNumId w:val="11"/>
  </w:num>
  <w:num w:numId="14">
    <w:abstractNumId w:val="8"/>
  </w:num>
  <w:num w:numId="15">
    <w:abstractNumId w:val="30"/>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5"/>
  </w:num>
  <w:num w:numId="23">
    <w:abstractNumId w:val="18"/>
  </w:num>
  <w:num w:numId="24">
    <w:abstractNumId w:val="6"/>
  </w:num>
  <w:num w:numId="25">
    <w:abstractNumId w:val="27"/>
  </w:num>
  <w:num w:numId="26">
    <w:abstractNumId w:val="17"/>
  </w:num>
  <w:num w:numId="27">
    <w:abstractNumId w:val="21"/>
  </w:num>
  <w:num w:numId="28">
    <w:abstractNumId w:val="24"/>
  </w:num>
  <w:num w:numId="29">
    <w:abstractNumId w:val="20"/>
  </w:num>
  <w:num w:numId="30">
    <w:abstractNumId w:val="31"/>
  </w:num>
  <w:num w:numId="31">
    <w:abstractNumId w:val="23"/>
  </w:num>
  <w:num w:numId="32">
    <w:abstractNumId w:val="13"/>
  </w:num>
  <w:num w:numId="33">
    <w:abstractNumId w:val="32"/>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5CD8"/>
    <w:rsid w:val="00006DDB"/>
    <w:rsid w:val="00011259"/>
    <w:rsid w:val="000143EF"/>
    <w:rsid w:val="00016D57"/>
    <w:rsid w:val="00020054"/>
    <w:rsid w:val="00021BE1"/>
    <w:rsid w:val="000251D3"/>
    <w:rsid w:val="000256B8"/>
    <w:rsid w:val="00034737"/>
    <w:rsid w:val="00034F13"/>
    <w:rsid w:val="0004094A"/>
    <w:rsid w:val="00042645"/>
    <w:rsid w:val="000436DD"/>
    <w:rsid w:val="000448EE"/>
    <w:rsid w:val="00053FB6"/>
    <w:rsid w:val="00054D20"/>
    <w:rsid w:val="000564A6"/>
    <w:rsid w:val="000566AC"/>
    <w:rsid w:val="0006174B"/>
    <w:rsid w:val="00063EE9"/>
    <w:rsid w:val="000653C0"/>
    <w:rsid w:val="000713E0"/>
    <w:rsid w:val="00072503"/>
    <w:rsid w:val="000846CA"/>
    <w:rsid w:val="000930EC"/>
    <w:rsid w:val="000931B5"/>
    <w:rsid w:val="00095033"/>
    <w:rsid w:val="000A1F68"/>
    <w:rsid w:val="000A23BA"/>
    <w:rsid w:val="000A5405"/>
    <w:rsid w:val="000A6528"/>
    <w:rsid w:val="000A751D"/>
    <w:rsid w:val="000B07E5"/>
    <w:rsid w:val="000B21EE"/>
    <w:rsid w:val="000B2583"/>
    <w:rsid w:val="000B2C8C"/>
    <w:rsid w:val="000B6C5E"/>
    <w:rsid w:val="000B6E63"/>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4DCC"/>
    <w:rsid w:val="00136896"/>
    <w:rsid w:val="00137266"/>
    <w:rsid w:val="00140037"/>
    <w:rsid w:val="00140150"/>
    <w:rsid w:val="00144B2A"/>
    <w:rsid w:val="00146ED5"/>
    <w:rsid w:val="001474B4"/>
    <w:rsid w:val="00163BC4"/>
    <w:rsid w:val="00164FAE"/>
    <w:rsid w:val="0016623B"/>
    <w:rsid w:val="00171366"/>
    <w:rsid w:val="0017310E"/>
    <w:rsid w:val="00175D82"/>
    <w:rsid w:val="001767F9"/>
    <w:rsid w:val="00176943"/>
    <w:rsid w:val="001778CB"/>
    <w:rsid w:val="001807D0"/>
    <w:rsid w:val="00181491"/>
    <w:rsid w:val="001829E3"/>
    <w:rsid w:val="001839B7"/>
    <w:rsid w:val="001844D9"/>
    <w:rsid w:val="00184B14"/>
    <w:rsid w:val="00184D7B"/>
    <w:rsid w:val="00187307"/>
    <w:rsid w:val="00191C50"/>
    <w:rsid w:val="00191F3B"/>
    <w:rsid w:val="00195DE1"/>
    <w:rsid w:val="00197C74"/>
    <w:rsid w:val="001A4B76"/>
    <w:rsid w:val="001A7E19"/>
    <w:rsid w:val="001B1961"/>
    <w:rsid w:val="001B20FB"/>
    <w:rsid w:val="001C06EF"/>
    <w:rsid w:val="001C2E7B"/>
    <w:rsid w:val="001C3EA1"/>
    <w:rsid w:val="001D093F"/>
    <w:rsid w:val="001D479A"/>
    <w:rsid w:val="001D6421"/>
    <w:rsid w:val="001E0970"/>
    <w:rsid w:val="001E2299"/>
    <w:rsid w:val="001E266B"/>
    <w:rsid w:val="001E63ED"/>
    <w:rsid w:val="001F0D95"/>
    <w:rsid w:val="001F5D2A"/>
    <w:rsid w:val="001F769D"/>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10FB"/>
    <w:rsid w:val="002624D4"/>
    <w:rsid w:val="002636EC"/>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D74B1"/>
    <w:rsid w:val="002E1428"/>
    <w:rsid w:val="002E1BE5"/>
    <w:rsid w:val="002E6178"/>
    <w:rsid w:val="002F298F"/>
    <w:rsid w:val="002F41C3"/>
    <w:rsid w:val="002F6719"/>
    <w:rsid w:val="002F7B14"/>
    <w:rsid w:val="00300ED9"/>
    <w:rsid w:val="00302303"/>
    <w:rsid w:val="0030295F"/>
    <w:rsid w:val="00302E15"/>
    <w:rsid w:val="00305343"/>
    <w:rsid w:val="00312345"/>
    <w:rsid w:val="003145CA"/>
    <w:rsid w:val="00314685"/>
    <w:rsid w:val="00315584"/>
    <w:rsid w:val="00321F7F"/>
    <w:rsid w:val="003263CE"/>
    <w:rsid w:val="00330BEF"/>
    <w:rsid w:val="003334D4"/>
    <w:rsid w:val="00333E4A"/>
    <w:rsid w:val="003355B2"/>
    <w:rsid w:val="003372B8"/>
    <w:rsid w:val="003416D2"/>
    <w:rsid w:val="003433E1"/>
    <w:rsid w:val="00345926"/>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E61"/>
    <w:rsid w:val="00392D95"/>
    <w:rsid w:val="00394660"/>
    <w:rsid w:val="003955C7"/>
    <w:rsid w:val="00396126"/>
    <w:rsid w:val="00397570"/>
    <w:rsid w:val="00397770"/>
    <w:rsid w:val="003A02BA"/>
    <w:rsid w:val="003A13EA"/>
    <w:rsid w:val="003A5DAF"/>
    <w:rsid w:val="003A79AA"/>
    <w:rsid w:val="003A7B42"/>
    <w:rsid w:val="003B098A"/>
    <w:rsid w:val="003B2A28"/>
    <w:rsid w:val="003C1D61"/>
    <w:rsid w:val="003C6CF8"/>
    <w:rsid w:val="003C79F3"/>
    <w:rsid w:val="003D2581"/>
    <w:rsid w:val="003D4331"/>
    <w:rsid w:val="003D5E24"/>
    <w:rsid w:val="003D6362"/>
    <w:rsid w:val="003E009C"/>
    <w:rsid w:val="003E3EFB"/>
    <w:rsid w:val="003F16D2"/>
    <w:rsid w:val="003F3426"/>
    <w:rsid w:val="003F4A37"/>
    <w:rsid w:val="003F55FD"/>
    <w:rsid w:val="003F5AC4"/>
    <w:rsid w:val="003F612D"/>
    <w:rsid w:val="00403214"/>
    <w:rsid w:val="0040691D"/>
    <w:rsid w:val="00410B4C"/>
    <w:rsid w:val="0041269A"/>
    <w:rsid w:val="00416050"/>
    <w:rsid w:val="00416199"/>
    <w:rsid w:val="0042154A"/>
    <w:rsid w:val="00421AA3"/>
    <w:rsid w:val="004220CD"/>
    <w:rsid w:val="004221E4"/>
    <w:rsid w:val="00424D39"/>
    <w:rsid w:val="00426C63"/>
    <w:rsid w:val="00432698"/>
    <w:rsid w:val="00432CA6"/>
    <w:rsid w:val="00433F7E"/>
    <w:rsid w:val="004404D5"/>
    <w:rsid w:val="00440920"/>
    <w:rsid w:val="00441C6A"/>
    <w:rsid w:val="00444BB2"/>
    <w:rsid w:val="004464E3"/>
    <w:rsid w:val="00450F16"/>
    <w:rsid w:val="004511D0"/>
    <w:rsid w:val="00452E1E"/>
    <w:rsid w:val="00453784"/>
    <w:rsid w:val="00457BFA"/>
    <w:rsid w:val="004601A5"/>
    <w:rsid w:val="00460783"/>
    <w:rsid w:val="00460E18"/>
    <w:rsid w:val="004633B1"/>
    <w:rsid w:val="00463C25"/>
    <w:rsid w:val="00464820"/>
    <w:rsid w:val="00467183"/>
    <w:rsid w:val="00467C38"/>
    <w:rsid w:val="004763D5"/>
    <w:rsid w:val="00477630"/>
    <w:rsid w:val="0048053E"/>
    <w:rsid w:val="00481AB0"/>
    <w:rsid w:val="00483CE1"/>
    <w:rsid w:val="00483D14"/>
    <w:rsid w:val="00484EF0"/>
    <w:rsid w:val="00486FA0"/>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71C"/>
    <w:rsid w:val="00534844"/>
    <w:rsid w:val="00534AFE"/>
    <w:rsid w:val="00536961"/>
    <w:rsid w:val="005402B8"/>
    <w:rsid w:val="00541616"/>
    <w:rsid w:val="00545A14"/>
    <w:rsid w:val="005539D3"/>
    <w:rsid w:val="005546C1"/>
    <w:rsid w:val="00562741"/>
    <w:rsid w:val="00563EFC"/>
    <w:rsid w:val="00564CEC"/>
    <w:rsid w:val="00567D6D"/>
    <w:rsid w:val="00574467"/>
    <w:rsid w:val="005745F7"/>
    <w:rsid w:val="00592C34"/>
    <w:rsid w:val="0059564C"/>
    <w:rsid w:val="005B0972"/>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26E"/>
    <w:rsid w:val="005E47BE"/>
    <w:rsid w:val="005F5A1D"/>
    <w:rsid w:val="005F79F6"/>
    <w:rsid w:val="00603257"/>
    <w:rsid w:val="00604A5A"/>
    <w:rsid w:val="00604C36"/>
    <w:rsid w:val="0061089C"/>
    <w:rsid w:val="00610E21"/>
    <w:rsid w:val="00611539"/>
    <w:rsid w:val="00611F7A"/>
    <w:rsid w:val="00612C7B"/>
    <w:rsid w:val="00613498"/>
    <w:rsid w:val="00616310"/>
    <w:rsid w:val="006167D5"/>
    <w:rsid w:val="00620634"/>
    <w:rsid w:val="006234AF"/>
    <w:rsid w:val="00624F2D"/>
    <w:rsid w:val="00626987"/>
    <w:rsid w:val="00627D12"/>
    <w:rsid w:val="006300F9"/>
    <w:rsid w:val="00630C09"/>
    <w:rsid w:val="00632E3E"/>
    <w:rsid w:val="0063387B"/>
    <w:rsid w:val="00634D51"/>
    <w:rsid w:val="0063502F"/>
    <w:rsid w:val="0063554F"/>
    <w:rsid w:val="006425E1"/>
    <w:rsid w:val="00645387"/>
    <w:rsid w:val="00647917"/>
    <w:rsid w:val="00647A50"/>
    <w:rsid w:val="00650F19"/>
    <w:rsid w:val="00657251"/>
    <w:rsid w:val="00657ADC"/>
    <w:rsid w:val="006615A5"/>
    <w:rsid w:val="00661728"/>
    <w:rsid w:val="0066391C"/>
    <w:rsid w:val="006646CD"/>
    <w:rsid w:val="00665487"/>
    <w:rsid w:val="00666001"/>
    <w:rsid w:val="0066603A"/>
    <w:rsid w:val="00671B65"/>
    <w:rsid w:val="0068043D"/>
    <w:rsid w:val="0068044F"/>
    <w:rsid w:val="00681E5A"/>
    <w:rsid w:val="00682375"/>
    <w:rsid w:val="00682C11"/>
    <w:rsid w:val="00684E1B"/>
    <w:rsid w:val="00687858"/>
    <w:rsid w:val="00693618"/>
    <w:rsid w:val="006944A1"/>
    <w:rsid w:val="006957BB"/>
    <w:rsid w:val="00695C4B"/>
    <w:rsid w:val="00696506"/>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6A38"/>
    <w:rsid w:val="006E05CF"/>
    <w:rsid w:val="006E21C1"/>
    <w:rsid w:val="006E23D6"/>
    <w:rsid w:val="006E3116"/>
    <w:rsid w:val="006E7A16"/>
    <w:rsid w:val="006F615E"/>
    <w:rsid w:val="006F7E6A"/>
    <w:rsid w:val="00703428"/>
    <w:rsid w:val="00705ABC"/>
    <w:rsid w:val="00710418"/>
    <w:rsid w:val="0071164D"/>
    <w:rsid w:val="00713C4A"/>
    <w:rsid w:val="00713DBD"/>
    <w:rsid w:val="0071463E"/>
    <w:rsid w:val="00721C5D"/>
    <w:rsid w:val="00725D04"/>
    <w:rsid w:val="00731B83"/>
    <w:rsid w:val="00732EF6"/>
    <w:rsid w:val="0073316C"/>
    <w:rsid w:val="00733663"/>
    <w:rsid w:val="00736AE5"/>
    <w:rsid w:val="00742403"/>
    <w:rsid w:val="00745C9D"/>
    <w:rsid w:val="0074660B"/>
    <w:rsid w:val="0075147A"/>
    <w:rsid w:val="00754CFB"/>
    <w:rsid w:val="00755936"/>
    <w:rsid w:val="007575D3"/>
    <w:rsid w:val="0076355E"/>
    <w:rsid w:val="007666D7"/>
    <w:rsid w:val="00774746"/>
    <w:rsid w:val="00774884"/>
    <w:rsid w:val="00774FA7"/>
    <w:rsid w:val="007757B5"/>
    <w:rsid w:val="007758B1"/>
    <w:rsid w:val="00777D84"/>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27B0"/>
    <w:rsid w:val="007B39D1"/>
    <w:rsid w:val="007B6D35"/>
    <w:rsid w:val="007B730A"/>
    <w:rsid w:val="007C156A"/>
    <w:rsid w:val="007C29B6"/>
    <w:rsid w:val="007C42BF"/>
    <w:rsid w:val="007C5EB0"/>
    <w:rsid w:val="007C6BD5"/>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20AF"/>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50FAF"/>
    <w:rsid w:val="00852417"/>
    <w:rsid w:val="00854A9A"/>
    <w:rsid w:val="00855090"/>
    <w:rsid w:val="0085627A"/>
    <w:rsid w:val="00857A0E"/>
    <w:rsid w:val="00861781"/>
    <w:rsid w:val="00864F24"/>
    <w:rsid w:val="00872448"/>
    <w:rsid w:val="00873501"/>
    <w:rsid w:val="0087488A"/>
    <w:rsid w:val="008754D1"/>
    <w:rsid w:val="00876238"/>
    <w:rsid w:val="00877008"/>
    <w:rsid w:val="00880654"/>
    <w:rsid w:val="00882293"/>
    <w:rsid w:val="00882D3D"/>
    <w:rsid w:val="00885607"/>
    <w:rsid w:val="008862D4"/>
    <w:rsid w:val="008873A3"/>
    <w:rsid w:val="00887CA2"/>
    <w:rsid w:val="008903BD"/>
    <w:rsid w:val="00891116"/>
    <w:rsid w:val="00893395"/>
    <w:rsid w:val="008934C5"/>
    <w:rsid w:val="008942CD"/>
    <w:rsid w:val="00894C50"/>
    <w:rsid w:val="00895AB2"/>
    <w:rsid w:val="00896B02"/>
    <w:rsid w:val="00897E11"/>
    <w:rsid w:val="008A380B"/>
    <w:rsid w:val="008A4CFF"/>
    <w:rsid w:val="008A61C3"/>
    <w:rsid w:val="008B2E7D"/>
    <w:rsid w:val="008B3E2D"/>
    <w:rsid w:val="008B62E2"/>
    <w:rsid w:val="008B70AF"/>
    <w:rsid w:val="008C5879"/>
    <w:rsid w:val="008D1943"/>
    <w:rsid w:val="008D2A00"/>
    <w:rsid w:val="008D3128"/>
    <w:rsid w:val="008D401E"/>
    <w:rsid w:val="008D6C96"/>
    <w:rsid w:val="008D744F"/>
    <w:rsid w:val="008E310D"/>
    <w:rsid w:val="008E54E1"/>
    <w:rsid w:val="008E5641"/>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15D1"/>
    <w:rsid w:val="00923A00"/>
    <w:rsid w:val="00926721"/>
    <w:rsid w:val="009271B9"/>
    <w:rsid w:val="00931351"/>
    <w:rsid w:val="00934A6C"/>
    <w:rsid w:val="009361AF"/>
    <w:rsid w:val="009373DC"/>
    <w:rsid w:val="00944794"/>
    <w:rsid w:val="00945167"/>
    <w:rsid w:val="00945FAF"/>
    <w:rsid w:val="00946692"/>
    <w:rsid w:val="00950935"/>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87452"/>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B6274"/>
    <w:rsid w:val="009C3E8C"/>
    <w:rsid w:val="009C460E"/>
    <w:rsid w:val="009C4E16"/>
    <w:rsid w:val="009C5CCB"/>
    <w:rsid w:val="009C7D1C"/>
    <w:rsid w:val="009D6DEA"/>
    <w:rsid w:val="009E2B00"/>
    <w:rsid w:val="009E48A3"/>
    <w:rsid w:val="009F0211"/>
    <w:rsid w:val="009F4351"/>
    <w:rsid w:val="009F634E"/>
    <w:rsid w:val="00A02BCB"/>
    <w:rsid w:val="00A02D42"/>
    <w:rsid w:val="00A03165"/>
    <w:rsid w:val="00A04781"/>
    <w:rsid w:val="00A05DCD"/>
    <w:rsid w:val="00A07746"/>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2E3"/>
    <w:rsid w:val="00A55314"/>
    <w:rsid w:val="00A5553E"/>
    <w:rsid w:val="00A56C06"/>
    <w:rsid w:val="00A5712D"/>
    <w:rsid w:val="00A573AE"/>
    <w:rsid w:val="00A62464"/>
    <w:rsid w:val="00A70479"/>
    <w:rsid w:val="00A70531"/>
    <w:rsid w:val="00A70FFE"/>
    <w:rsid w:val="00A73D3A"/>
    <w:rsid w:val="00A74CCC"/>
    <w:rsid w:val="00A76469"/>
    <w:rsid w:val="00A76843"/>
    <w:rsid w:val="00A774D1"/>
    <w:rsid w:val="00A81228"/>
    <w:rsid w:val="00A86CF0"/>
    <w:rsid w:val="00A87D98"/>
    <w:rsid w:val="00A902C9"/>
    <w:rsid w:val="00A920DE"/>
    <w:rsid w:val="00A94470"/>
    <w:rsid w:val="00A973F4"/>
    <w:rsid w:val="00AA087D"/>
    <w:rsid w:val="00AA1B0A"/>
    <w:rsid w:val="00AA2D8B"/>
    <w:rsid w:val="00AA4D4D"/>
    <w:rsid w:val="00AA5AF8"/>
    <w:rsid w:val="00AB0F43"/>
    <w:rsid w:val="00AB271A"/>
    <w:rsid w:val="00AB57D9"/>
    <w:rsid w:val="00AC135D"/>
    <w:rsid w:val="00AD0446"/>
    <w:rsid w:val="00AD3406"/>
    <w:rsid w:val="00AD3AB2"/>
    <w:rsid w:val="00AD55C3"/>
    <w:rsid w:val="00AD73EA"/>
    <w:rsid w:val="00AD748A"/>
    <w:rsid w:val="00AE1494"/>
    <w:rsid w:val="00AE43B9"/>
    <w:rsid w:val="00AE4AB2"/>
    <w:rsid w:val="00AE57A3"/>
    <w:rsid w:val="00AE5E3F"/>
    <w:rsid w:val="00AE6A3E"/>
    <w:rsid w:val="00AF0718"/>
    <w:rsid w:val="00AF1DAB"/>
    <w:rsid w:val="00AF5C49"/>
    <w:rsid w:val="00AF647C"/>
    <w:rsid w:val="00B00BF8"/>
    <w:rsid w:val="00B01C24"/>
    <w:rsid w:val="00B02523"/>
    <w:rsid w:val="00B06C07"/>
    <w:rsid w:val="00B072E6"/>
    <w:rsid w:val="00B10563"/>
    <w:rsid w:val="00B10736"/>
    <w:rsid w:val="00B15C88"/>
    <w:rsid w:val="00B1620A"/>
    <w:rsid w:val="00B16A22"/>
    <w:rsid w:val="00B16E84"/>
    <w:rsid w:val="00B20D0B"/>
    <w:rsid w:val="00B20FAB"/>
    <w:rsid w:val="00B22BA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2FE6"/>
    <w:rsid w:val="00B7362E"/>
    <w:rsid w:val="00B74063"/>
    <w:rsid w:val="00B74E42"/>
    <w:rsid w:val="00B76B57"/>
    <w:rsid w:val="00B7702C"/>
    <w:rsid w:val="00B77CE3"/>
    <w:rsid w:val="00B85B2B"/>
    <w:rsid w:val="00B85B39"/>
    <w:rsid w:val="00B86050"/>
    <w:rsid w:val="00B90738"/>
    <w:rsid w:val="00B91662"/>
    <w:rsid w:val="00B935F4"/>
    <w:rsid w:val="00B937C5"/>
    <w:rsid w:val="00B95E31"/>
    <w:rsid w:val="00BA4EFE"/>
    <w:rsid w:val="00BA5717"/>
    <w:rsid w:val="00BA68C8"/>
    <w:rsid w:val="00BB6186"/>
    <w:rsid w:val="00BC0C59"/>
    <w:rsid w:val="00BC4629"/>
    <w:rsid w:val="00BD0BDA"/>
    <w:rsid w:val="00BD38F3"/>
    <w:rsid w:val="00BD6951"/>
    <w:rsid w:val="00BD6E34"/>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16836"/>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471E"/>
    <w:rsid w:val="00C659F3"/>
    <w:rsid w:val="00C6688C"/>
    <w:rsid w:val="00C73AA9"/>
    <w:rsid w:val="00C746BA"/>
    <w:rsid w:val="00C774CC"/>
    <w:rsid w:val="00C81060"/>
    <w:rsid w:val="00C8106E"/>
    <w:rsid w:val="00C8162C"/>
    <w:rsid w:val="00C84737"/>
    <w:rsid w:val="00C850D5"/>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0469"/>
    <w:rsid w:val="00CE19A1"/>
    <w:rsid w:val="00CE2E77"/>
    <w:rsid w:val="00CE34BD"/>
    <w:rsid w:val="00CE4798"/>
    <w:rsid w:val="00CE50E6"/>
    <w:rsid w:val="00CE5F24"/>
    <w:rsid w:val="00CF122A"/>
    <w:rsid w:val="00CF1DAE"/>
    <w:rsid w:val="00CF209E"/>
    <w:rsid w:val="00CF3A80"/>
    <w:rsid w:val="00CF560D"/>
    <w:rsid w:val="00CF57EB"/>
    <w:rsid w:val="00D00C0F"/>
    <w:rsid w:val="00D02215"/>
    <w:rsid w:val="00D036C3"/>
    <w:rsid w:val="00D05067"/>
    <w:rsid w:val="00D05495"/>
    <w:rsid w:val="00D070A7"/>
    <w:rsid w:val="00D10C1E"/>
    <w:rsid w:val="00D11594"/>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0FC9"/>
    <w:rsid w:val="00D84DB4"/>
    <w:rsid w:val="00D86873"/>
    <w:rsid w:val="00D915E7"/>
    <w:rsid w:val="00D91D1D"/>
    <w:rsid w:val="00D939C7"/>
    <w:rsid w:val="00DA1458"/>
    <w:rsid w:val="00DB27BA"/>
    <w:rsid w:val="00DB4F81"/>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1468"/>
    <w:rsid w:val="00E02B55"/>
    <w:rsid w:val="00E033C5"/>
    <w:rsid w:val="00E0591F"/>
    <w:rsid w:val="00E125C3"/>
    <w:rsid w:val="00E12EB9"/>
    <w:rsid w:val="00E142EE"/>
    <w:rsid w:val="00E1436A"/>
    <w:rsid w:val="00E15D83"/>
    <w:rsid w:val="00E1690E"/>
    <w:rsid w:val="00E20CC2"/>
    <w:rsid w:val="00E22045"/>
    <w:rsid w:val="00E22AFC"/>
    <w:rsid w:val="00E26AC0"/>
    <w:rsid w:val="00E31FED"/>
    <w:rsid w:val="00E321B3"/>
    <w:rsid w:val="00E32EA4"/>
    <w:rsid w:val="00E33EF8"/>
    <w:rsid w:val="00E35889"/>
    <w:rsid w:val="00E359BC"/>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33D2"/>
    <w:rsid w:val="00EC3E6D"/>
    <w:rsid w:val="00EC686A"/>
    <w:rsid w:val="00ED3648"/>
    <w:rsid w:val="00ED389C"/>
    <w:rsid w:val="00EE60FE"/>
    <w:rsid w:val="00EE6A59"/>
    <w:rsid w:val="00EF0C06"/>
    <w:rsid w:val="00EF3960"/>
    <w:rsid w:val="00F05468"/>
    <w:rsid w:val="00F11BAB"/>
    <w:rsid w:val="00F126CF"/>
    <w:rsid w:val="00F12D13"/>
    <w:rsid w:val="00F1591E"/>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4A6E"/>
    <w:rsid w:val="00F56D84"/>
    <w:rsid w:val="00F6168D"/>
    <w:rsid w:val="00F63AEA"/>
    <w:rsid w:val="00F6436F"/>
    <w:rsid w:val="00F66802"/>
    <w:rsid w:val="00F668C0"/>
    <w:rsid w:val="00F71068"/>
    <w:rsid w:val="00F715B1"/>
    <w:rsid w:val="00F71F54"/>
    <w:rsid w:val="00F7387C"/>
    <w:rsid w:val="00F74EAC"/>
    <w:rsid w:val="00F8196E"/>
    <w:rsid w:val="00F819BE"/>
    <w:rsid w:val="00F83A0C"/>
    <w:rsid w:val="00F85850"/>
    <w:rsid w:val="00F87ADC"/>
    <w:rsid w:val="00F92534"/>
    <w:rsid w:val="00F97702"/>
    <w:rsid w:val="00F978D6"/>
    <w:rsid w:val="00FA0A33"/>
    <w:rsid w:val="00FA1C47"/>
    <w:rsid w:val="00FA33FA"/>
    <w:rsid w:val="00FA348B"/>
    <w:rsid w:val="00FA6F1B"/>
    <w:rsid w:val="00FB014F"/>
    <w:rsid w:val="00FB4238"/>
    <w:rsid w:val="00FB53E7"/>
    <w:rsid w:val="00FB7ADD"/>
    <w:rsid w:val="00FC2591"/>
    <w:rsid w:val="00FC3A97"/>
    <w:rsid w:val="00FD192F"/>
    <w:rsid w:val="00FD1962"/>
    <w:rsid w:val="00FD1DB9"/>
    <w:rsid w:val="00FD3481"/>
    <w:rsid w:val="00FD34B7"/>
    <w:rsid w:val="00FD6AD1"/>
    <w:rsid w:val="00FD6EED"/>
    <w:rsid w:val="00FD7598"/>
    <w:rsid w:val="00FF0C39"/>
    <w:rsid w:val="00FF16D0"/>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59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5A664CBE-2B2B-4F50-83B0-B25159DCD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3086</TotalTime>
  <Pages>4</Pages>
  <Words>1532</Words>
  <Characters>8737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71</cp:revision>
  <cp:lastPrinted>2014-08-09T03:01:00Z</cp:lastPrinted>
  <dcterms:created xsi:type="dcterms:W3CDTF">2022-09-14T07:23:00Z</dcterms:created>
  <dcterms:modified xsi:type="dcterms:W3CDTF">2023-02-16T05:21:00Z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